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ANEXO II: TERMO DE ACORDO INDIVIDUAL LEILÃO DE PAGAMENTO DE OBRIGAÇÕES MUNICIPAIS</w:t>
      </w:r>
    </w:p>
    <w:p>
      <w:pPr>
        <w:pStyle w:val="Normal"/>
        <w:jc w:val="both"/>
        <w:rPr/>
      </w:pPr>
      <w:r>
        <w:rPr>
          <w:b/>
          <w:bCs/>
        </w:rPr>
        <w:t>TERMO DE ACORDO INDIVIDUAL</w:t>
      </w:r>
      <w:r>
        <w:rPr/>
        <w:t xml:space="preserve"> que entre si celebram o </w:t>
      </w:r>
      <w:r>
        <w:rPr>
          <w:b/>
          <w:bCs/>
        </w:rPr>
        <w:t>MUNICÍPIO DE SÃO LEOPOLDO</w:t>
      </w:r>
      <w:r>
        <w:rPr/>
        <w:t xml:space="preserve">, pessoa jurídica de direito público interno, com sede administrativa na cidade de São Leopoldo/RS, inscrito no CNPJ nº [inserir CNPJ], neste ato representado pelo Prefeito Municipal e pela autoridade ordenadora da despesa competente, doravante denominado simplesmente </w:t>
      </w:r>
      <w:r>
        <w:rPr>
          <w:b/>
          <w:bCs/>
        </w:rPr>
        <w:t>MUNICÍPIO</w:t>
      </w:r>
      <w:r>
        <w:rPr/>
        <w:t xml:space="preserve">, e, de outro lado, </w:t>
      </w:r>
      <w:r>
        <w:rPr>
          <w:b/>
          <w:bCs/>
        </w:rPr>
        <w:t>[Nome/Razão Social do Credor]</w:t>
      </w:r>
      <w:r>
        <w:rPr/>
        <w:t xml:space="preserve">, (pessoa física ou jurídica), inscrita no CPF/CNPJ nº [inserir CPF/CNPJ], com sede/endereço em [inserir endereço], doravante denominada </w:t>
      </w:r>
      <w:r>
        <w:rPr>
          <w:b/>
          <w:bCs/>
        </w:rPr>
        <w:t>CREDOR</w:t>
      </w:r>
      <w:r>
        <w:rPr/>
        <w:t>, mediante as cláusulas e condições a seguir estabelecidas.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PRIMEIRA – DO FUNDAMENTO LEGAL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O presente Termo de Acordo é celebrado com fundamento: </w:t>
      </w:r>
    </w:p>
    <w:p>
      <w:pPr>
        <w:pStyle w:val="Normal"/>
        <w:jc w:val="both"/>
        <w:rPr/>
      </w:pPr>
      <w:r>
        <w:rPr/>
        <w:t xml:space="preserve">I – na Lei Municipal nº 10.419, de 05 de dezembro de 2025; </w:t>
      </w:r>
    </w:p>
    <w:p>
      <w:pPr>
        <w:pStyle w:val="Normal"/>
        <w:jc w:val="both"/>
        <w:rPr/>
      </w:pPr>
      <w:r>
        <w:rPr/>
        <w:t xml:space="preserve">II – no Decreto Municipal Nº 11.268, de 30 de dezembro de 2025, que regulamenta o leilão de pagamento de obrigações municipais; </w:t>
      </w:r>
    </w:p>
    <w:p>
      <w:pPr>
        <w:pStyle w:val="Normal"/>
        <w:jc w:val="both"/>
        <w:rPr/>
      </w:pPr>
      <w:r>
        <w:rPr/>
        <w:t xml:space="preserve">III – no Edital de Leilão de Pagamento nº 001/2026; </w:t>
      </w:r>
    </w:p>
    <w:p>
      <w:pPr>
        <w:pStyle w:val="Normal"/>
        <w:jc w:val="both"/>
        <w:rPr/>
      </w:pPr>
      <w:r>
        <w:rPr/>
        <w:t>IV – no resultado homologado do respectivo Leilão de Pagamento.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SEGUNDA – DO OBJETO</w:t>
      </w:r>
    </w:p>
    <w:p>
      <w:pPr>
        <w:pStyle w:val="Normal"/>
        <w:jc w:val="both"/>
        <w:rPr/>
      </w:pPr>
      <w:r>
        <w:rPr/>
        <w:t>2.1. O presente Termo tem por objeto a formalização do acordo decorrente da classificação do CREDOR no Leilão de Pagamento referido na Cláusula Primeira, assegurando-lhe prioridade no pagamento do crédito descrito neste instrumento, mediante a aplicação do desconto ofertado no certame, configurando novação da dívida.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TERCEIRA – DA IDENTIFICAÇÃO DO CRÉDITO</w:t>
      </w:r>
    </w:p>
    <w:p>
      <w:pPr>
        <w:pStyle w:val="Normal"/>
        <w:jc w:val="both"/>
        <w:rPr/>
      </w:pPr>
      <w:r>
        <w:rPr/>
        <w:t xml:space="preserve">3.1. O crédito objeto do presente acordo possui as seguintes características: </w:t>
      </w:r>
    </w:p>
    <w:p>
      <w:pPr>
        <w:pStyle w:val="Normal"/>
        <w:jc w:val="both"/>
        <w:rPr/>
      </w:pPr>
      <w:r>
        <w:rPr/>
        <w:t xml:space="preserve">I – Origem: (contrato, nota de empenho, nota fiscal ou outro documento hábil); </w:t>
      </w:r>
    </w:p>
    <w:p>
      <w:pPr>
        <w:pStyle w:val="Normal"/>
        <w:jc w:val="both"/>
        <w:rPr/>
      </w:pPr>
      <w:r>
        <w:rPr/>
        <w:t xml:space="preserve">II – Número do processo administrativo: [inserir número]; </w:t>
      </w:r>
    </w:p>
    <w:p>
      <w:pPr>
        <w:pStyle w:val="Normal"/>
        <w:jc w:val="both"/>
        <w:rPr/>
      </w:pPr>
      <w:r>
        <w:rPr/>
        <w:t xml:space="preserve">III – Exercício de origem: [inserir ano]; </w:t>
      </w:r>
    </w:p>
    <w:p>
      <w:pPr>
        <w:pStyle w:val="Normal"/>
        <w:jc w:val="both"/>
        <w:rPr/>
      </w:pPr>
      <w:r>
        <w:rPr/>
        <w:t xml:space="preserve">IV – Natureza da despesa: [inserir descrição]; </w:t>
      </w:r>
    </w:p>
    <w:p>
      <w:pPr>
        <w:pStyle w:val="Normal"/>
        <w:jc w:val="both"/>
        <w:rPr/>
      </w:pPr>
      <w:r>
        <w:rPr/>
        <w:t xml:space="preserve">V – Valor original do crédito: R$ [inserir valor] ([inserir valor por extenso]); </w:t>
      </w:r>
    </w:p>
    <w:p>
      <w:pPr>
        <w:pStyle w:val="Normal"/>
        <w:jc w:val="both"/>
        <w:rPr/>
      </w:pPr>
      <w:r>
        <w:rPr/>
        <w:t>VII – Situação: (restos a pagar / obrigação inadimplida).</w:t>
      </w:r>
    </w:p>
    <w:p>
      <w:pPr>
        <w:pStyle w:val="Normal"/>
        <w:jc w:val="both"/>
        <w:rPr/>
      </w:pPr>
      <w:r>
        <w:rPr/>
        <w:t>3.2. O crédito acima descrito é líquido, certo e exigível, não se enquadrando nas hipóteses legais de vedação ao leilão de pagamento, em especial quanto a precatórios, obrigações de folha, serviço da dívida pública ou recursos vinculados, conforme Decreto Municipal Nº 11.268, de 30 de dezembro de 2025.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QUARTA – DO DESCONTO E DO VALOR FINAL</w:t>
      </w:r>
    </w:p>
    <w:p>
      <w:pPr>
        <w:pStyle w:val="Normal"/>
        <w:jc w:val="both"/>
        <w:rPr/>
      </w:pPr>
      <w:r>
        <w:rPr/>
        <w:t xml:space="preserve">4.1. O CREDOR ofertou, no âmbito do Leilão de Pagamento, desconto correspondente a [inserir percentual]% ([inserir percentual por extenso] por cento) sobre o valor consolidado do crédito. </w:t>
      </w:r>
    </w:p>
    <w:p>
      <w:pPr>
        <w:pStyle w:val="Normal"/>
        <w:jc w:val="both"/>
        <w:rPr/>
      </w:pPr>
      <w:r>
        <w:rPr/>
        <w:t>4.2. Em razão do desconto ofertado e aceito, o valor final a ser pago pelo MUNICÍPIO corresponde a R$ [inserir valor] ([inserir valor por extenso]).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QUINTA – DA FORMA DE PAGAMENTO</w:t>
      </w:r>
    </w:p>
    <w:p>
      <w:pPr>
        <w:pStyle w:val="Normal"/>
        <w:jc w:val="both"/>
        <w:rPr/>
      </w:pPr>
      <w:r>
        <w:rPr/>
        <w:t xml:space="preserve">5.1. O pagamento do valor ajustado será realizado: ( ) à vista, até [inserir data]; ou ( ) de forma parcelada, em [inserir número] ([inserir número por extenso]) parcelas mensais e sucessivas, no valor de R$ [inserir valor] cada, com vencimento da primeira parcela em [inserir data]. </w:t>
      </w:r>
    </w:p>
    <w:p>
      <w:pPr>
        <w:pStyle w:val="Normal"/>
        <w:jc w:val="both"/>
        <w:rPr/>
      </w:pPr>
      <w:r>
        <w:rPr/>
        <w:t>5.2. O pagamento está condicionado à existência de disponibilidade orçamentária e financeira, observadas as normas da Lei nº 4.320/1964 e da Lei Complementar nº 101/2000.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SEXTA – DA QUITAÇÃO, NOVAÇÃO E RENÚNCIA</w:t>
      </w:r>
    </w:p>
    <w:p>
      <w:pPr>
        <w:pStyle w:val="Normal"/>
        <w:jc w:val="both"/>
        <w:rPr/>
      </w:pPr>
      <w:r>
        <w:rPr/>
        <w:t xml:space="preserve">6.1. Com o recebimento integral do valor ajustado, o CREDOR confere plena, geral e irrevogável quitação ao MUNICÍPIO quanto ao crédito descrito neste Termo. </w:t>
      </w:r>
    </w:p>
    <w:p>
      <w:pPr>
        <w:pStyle w:val="Normal"/>
        <w:jc w:val="both"/>
        <w:rPr/>
      </w:pPr>
      <w:r>
        <w:rPr/>
        <w:t xml:space="preserve">6.2. O CREDOR declara, de forma expressa e irretratável, que aceita o desconto concedido e que a quitação da obrigação dar-se-á por novação, nos termos do art. 7º do Decreto Municipal Nº 11.268, de 30 de dezembro de 2025, o que implica em: </w:t>
      </w:r>
    </w:p>
    <w:p>
      <w:pPr>
        <w:pStyle w:val="Normal"/>
        <w:jc w:val="both"/>
        <w:rPr/>
      </w:pPr>
      <w:r>
        <w:rPr/>
        <w:t xml:space="preserve">I - desistência de quaisquer impugnações, defesas ou recursos administrativos pendentes relacionados ao crédito; </w:t>
      </w:r>
    </w:p>
    <w:p>
      <w:pPr>
        <w:pStyle w:val="Normal"/>
        <w:jc w:val="both"/>
        <w:rPr/>
      </w:pPr>
      <w:r>
        <w:rPr/>
        <w:t xml:space="preserve">II - desistência expressa e irrevogável das ações judiciais relacionadas ao crédito, com renúncia ao direito sobre o qual se fundamentem, inclusive no tocante a honorários sucumbenciais em desfavor do </w:t>
      </w:r>
      <w:r>
        <w:rPr>
          <w:b/>
          <w:bCs/>
        </w:rPr>
        <w:t>Município de São Leopoldo</w:t>
      </w:r>
      <w:r>
        <w:rPr/>
        <w:t xml:space="preserve"> ou de suas entidades.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SÉTIMA – DOS EFEITOS CONTÁBEIS E FISCAIS</w:t>
      </w:r>
    </w:p>
    <w:p>
      <w:pPr>
        <w:pStyle w:val="Normal"/>
        <w:jc w:val="both"/>
        <w:rPr/>
      </w:pPr>
      <w:r>
        <w:rPr/>
        <w:t xml:space="preserve">7.1. O MUNICÍPIO promoverá os registros contábeis necessários à baixa integral do passivo correspondente, bem como ao cancelamento da parcela objeto do desconto, nos termos da legislação aplicável, refletindo a novação da dívida. </w:t>
      </w:r>
    </w:p>
    <w:p>
      <w:pPr>
        <w:pStyle w:val="Normal"/>
        <w:jc w:val="both"/>
        <w:rPr/>
      </w:pPr>
      <w:r>
        <w:rPr/>
        <w:t>7.2. Os efeitos tributários eventualmente incidentes sobre o pagamento são de responsabilidade exclusiva do CREDOR, nos termos da legislação vigente.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OITAVA – DA TRANSPARÊNCIA E DO CONTROLE</w:t>
      </w:r>
    </w:p>
    <w:p>
      <w:pPr>
        <w:pStyle w:val="Normal"/>
        <w:jc w:val="both"/>
        <w:rPr/>
      </w:pPr>
      <w:r>
        <w:rPr/>
        <w:t xml:space="preserve">8.1. O presente Termo integra o processo administrativo do Leilão de Pagamento e poderá ser disponibilizado aos órgãos de controle interno e externo. </w:t>
      </w:r>
    </w:p>
    <w:p>
      <w:pPr>
        <w:pStyle w:val="Normal"/>
        <w:jc w:val="both"/>
        <w:rPr/>
      </w:pPr>
      <w:r>
        <w:rPr/>
        <w:t>8.2. As informações essenciais do acordo poderão ser divulgadas no Portal da Transparência do Município, resguardados os dados protegidos por sigilo legal.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NONA – DAS DISPOSIÇÕES GERAIS</w:t>
      </w:r>
    </w:p>
    <w:p>
      <w:pPr>
        <w:pStyle w:val="Normal"/>
        <w:jc w:val="both"/>
        <w:rPr/>
      </w:pPr>
      <w:r>
        <w:rPr/>
        <w:t xml:space="preserve">9.1. O presente Termo é celebrado em caráter irrevogável e irretratável, obrigando as partes e seus sucessores. </w:t>
      </w:r>
    </w:p>
    <w:p>
      <w:pPr>
        <w:pStyle w:val="Normal"/>
        <w:jc w:val="both"/>
        <w:rPr/>
      </w:pPr>
      <w:r>
        <w:rPr/>
        <w:t>9.2. Os casos omissos serão resolvidos pela Administração Municipal, observada a legislação aplicável.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CLÁUSULA DÉCIMA – DO FORO</w:t>
      </w:r>
    </w:p>
    <w:p>
      <w:pPr>
        <w:pStyle w:val="Normal"/>
        <w:jc w:val="both"/>
        <w:rPr/>
      </w:pPr>
      <w:r>
        <w:rPr/>
        <w:t>10.1. Fica eleito o foro da Comarca de São Leopoldo/RS para dirimir eventuais controvérsias oriundas deste Termo, com renúncia a qualquer outro, por mais privilegiado que seja.</w:t>
      </w:r>
    </w:p>
    <w:p>
      <w:pPr>
        <w:pStyle w:val="Normal"/>
        <w:jc w:val="both"/>
        <w:rPr/>
      </w:pPr>
      <w:r>
        <w:rPr/>
        <w:t>E, por estarem de pleno acordo, as partes assinam o presente Termo em [inserir número] ([inserir número por extenso]) vias de igual teor e forma.</w:t>
      </w:r>
    </w:p>
    <w:p>
      <w:pPr>
        <w:pStyle w:val="Normal"/>
        <w:jc w:val="both"/>
        <w:rPr/>
      </w:pPr>
      <w:r>
        <w:rPr/>
        <w:t>São Leopoldo, [inserir data].</w:t>
      </w:r>
    </w:p>
    <w:p>
      <w:pPr>
        <w:pStyle w:val="Normal"/>
        <w:jc w:val="both"/>
        <w:rPr/>
      </w:pPr>
      <w:r>
        <w:rPr>
          <w:b/>
          <w:bCs/>
        </w:rPr>
        <w:t>Prefeito Municipal</w:t>
      </w:r>
      <w:r>
        <w:rPr/>
        <w:t xml:space="preserve"> Município de São Leopoldo</w:t>
      </w:r>
    </w:p>
    <w:p>
      <w:pPr>
        <w:pStyle w:val="Normal"/>
        <w:jc w:val="both"/>
        <w:rPr/>
      </w:pPr>
      <w:r>
        <w:rPr>
          <w:b/>
          <w:bCs/>
        </w:rPr>
        <w:t>Autoridade Ordenadora da Despesa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b/>
          <w:bCs/>
        </w:rPr>
        <w:t>Credor</w:t>
      </w:r>
      <w:r>
        <w:rPr/>
        <w:t xml:space="preserve"> [Nome/Razão Social]</w:t>
      </w:r>
    </w:p>
    <w:p>
      <w:pPr>
        <w:pStyle w:val="Normal"/>
        <w:jc w:val="both"/>
        <w:rPr/>
      </w:pPr>
      <w:r>
        <w:rPr>
          <w:b/>
          <w:bCs/>
        </w:rPr>
        <w:t>Testemunha</w:t>
      </w:r>
      <w:r>
        <w:rPr/>
        <w:t xml:space="preserve"> CPF: [inserir CPF]</w:t>
      </w:r>
    </w:p>
    <w:p>
      <w:pPr>
        <w:pStyle w:val="Normal"/>
        <w:spacing w:before="0" w:after="160"/>
        <w:jc w:val="both"/>
        <w:rPr/>
      </w:pPr>
      <w:r>
        <w:rPr>
          <w:b/>
          <w:bCs/>
        </w:rPr>
        <w:t>Testemunha</w:t>
      </w:r>
      <w:r>
        <w:rPr/>
        <w:t xml:space="preserve"> CPF: [inserir CPF]</w:t>
      </w:r>
    </w:p>
    <w:sectPr>
      <w:headerReference w:type="default" r:id="rId2"/>
      <w:footerReference w:type="default" r:id="rId3"/>
      <w:type w:val="nextPage"/>
      <w:pgSz w:w="11906" w:h="16838"/>
      <w:pgMar w:left="1701" w:right="1133" w:header="1135" w:top="2552" w:footer="481" w:bottom="226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rPr>
        <w:i/>
        <w:i/>
        <w:iCs/>
        <w:sz w:val="22"/>
        <w:szCs w:val="22"/>
      </w:rPr>
    </w:pPr>
    <w:r>
      <w:rPr>
        <w:i/>
        <w:iCs/>
        <w:sz w:val="20"/>
        <w:szCs w:val="20"/>
      </w:rPr>
      <w:t xml:space="preserve">LTB/...   </w:t>
    </w:r>
    <w:r>
      <w:rPr>
        <w:i/>
        <w:iCs/>
        <w:sz w:val="22"/>
        <w:szCs w:val="22"/>
      </w:rPr>
      <w:tab/>
      <w:tab/>
      <w:t>São Leopoldo, Berço da Colonização Alemã no Brasil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right"/>
      <w:rPr>
        <w:sz w:val="22"/>
        <w:szCs w:val="22"/>
      </w:rPr>
    </w:pPr>
    <w:r>
      <w:rPr>
        <w:sz w:val="22"/>
        <w:szCs w:val="22"/>
      </w:rPr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center"/>
      <w:rPr>
        <w:rFonts w:ascii="Arial" w:hAnsi="Arial" w:eastAsia="Arial" w:cs="Arial"/>
        <w:color w:val="666666"/>
        <w:sz w:val="18"/>
        <w:szCs w:val="18"/>
      </w:rPr>
    </w:pPr>
    <w:r>
      <w:rPr>
        <w:rFonts w:eastAsia="Arial" w:cs="Arial" w:ascii="Arial" w:hAnsi="Arial"/>
        <w:color w:val="666666"/>
        <w:sz w:val="18"/>
        <w:szCs w:val="18"/>
      </w:rPr>
      <w:t>Prefeitura de São Leopoldo / RS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center"/>
      <w:rPr>
        <w:rFonts w:ascii="Arial" w:hAnsi="Arial" w:eastAsia="Arial" w:cs="Arial"/>
        <w:color w:val="666666"/>
        <w:sz w:val="18"/>
        <w:szCs w:val="18"/>
      </w:rPr>
    </w:pPr>
    <w:r>
      <w:rPr>
        <w:rFonts w:eastAsia="Arial" w:cs="Arial" w:ascii="Arial" w:hAnsi="Arial"/>
        <w:color w:val="666666"/>
        <w:sz w:val="18"/>
        <w:szCs w:val="18"/>
      </w:rPr>
      <w:t xml:space="preserve">Avenida Dom João Becker, 754 </w:t>
    </w:r>
    <w:r>
      <w:rPr>
        <w:rFonts w:eastAsia="Arial" w:cs="Arial" w:ascii="Arial" w:hAnsi="Arial"/>
        <w:color w:val="666666"/>
        <w:sz w:val="18"/>
        <w:szCs w:val="18"/>
        <w:highlight w:val="white"/>
      </w:rPr>
      <w:t>–</w:t>
    </w:r>
    <w:r>
      <w:rPr>
        <w:rFonts w:eastAsia="Arial" w:cs="Arial" w:ascii="Arial" w:hAnsi="Arial"/>
        <w:color w:val="666666"/>
        <w:sz w:val="18"/>
        <w:szCs w:val="18"/>
      </w:rPr>
      <w:t xml:space="preserve"> Centro </w:t>
    </w:r>
    <w:r>
      <w:rPr>
        <w:rFonts w:eastAsia="Arial" w:cs="Arial" w:ascii="Arial" w:hAnsi="Arial"/>
        <w:color w:val="666666"/>
        <w:sz w:val="18"/>
        <w:szCs w:val="18"/>
        <w:highlight w:val="white"/>
      </w:rPr>
      <w:t>–</w:t>
    </w:r>
    <w:r>
      <w:rPr>
        <w:rFonts w:eastAsia="Arial" w:cs="Arial" w:ascii="Arial" w:hAnsi="Arial"/>
        <w:color w:val="666666"/>
        <w:sz w:val="18"/>
        <w:szCs w:val="18"/>
      </w:rPr>
      <w:t xml:space="preserve"> CEP 93010-010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center"/>
      <w:rPr>
        <w:i/>
        <w:i/>
        <w:iCs/>
        <w:sz w:val="22"/>
        <w:szCs w:val="22"/>
      </w:rPr>
    </w:pPr>
    <w:r>
      <w:rPr>
        <w:rFonts w:eastAsia="Arial" w:cs="Arial" w:ascii="Arial" w:hAnsi="Arial"/>
        <w:color w:val="666666"/>
        <w:sz w:val="17"/>
        <w:szCs w:val="17"/>
      </w:rPr>
      <w:t>(51) 2200-0200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-19050</wp:posOffset>
          </wp:positionH>
          <wp:positionV relativeFrom="paragraph">
            <wp:posOffset>-205740</wp:posOffset>
          </wp:positionV>
          <wp:extent cx="2387600" cy="80518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87600" cy="805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3151505</wp:posOffset>
          </wp:positionH>
          <wp:positionV relativeFrom="paragraph">
            <wp:posOffset>-250190</wp:posOffset>
          </wp:positionV>
          <wp:extent cx="1951355" cy="824865"/>
          <wp:effectExtent l="0" t="0" r="0" b="0"/>
          <wp:wrapNone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824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 xml:space="preserve">                                                          </w:t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1800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6859e9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59e9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59e9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59e9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59e9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59e9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59e9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59e9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59e9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6859e9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6859e9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6859e9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6859e9"/>
    <w:rPr>
      <w:rFonts w:eastAsia="" w:cs="" w:cstheme="majorBidi" w:eastAsiaTheme="majorEastAsia"/>
      <w:i/>
      <w:iCs/>
      <w:color w:val="2F5496" w:themeColor="accent1" w:themeShade="bf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6859e9"/>
    <w:rPr>
      <w:rFonts w:eastAsia="" w:cs="" w:cstheme="majorBidi" w:eastAsiaTheme="majorEastAsia"/>
      <w:color w:val="2F5496" w:themeColor="accent1" w:themeShade="bf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6859e9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sid w:val="006859e9"/>
    <w:rPr>
      <w:rFonts w:eastAsia="" w:cs="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sid w:val="006859e9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sid w:val="006859e9"/>
    <w:rPr>
      <w:rFonts w:eastAsia="" w:cs="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link w:val="Ttulo"/>
    <w:uiPriority w:val="10"/>
    <w:qFormat/>
    <w:rsid w:val="006859e9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6859e9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6859e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859e9"/>
    <w:rPr>
      <w:i/>
      <w:iCs/>
      <w:color w:val="2F5496" w:themeColor="accent1" w:themeShade="bf"/>
    </w:rPr>
  </w:style>
  <w:style w:type="character" w:styleId="CitaoIntensaChar" w:customStyle="1">
    <w:name w:val="Citação Intensa Char"/>
    <w:basedOn w:val="DefaultParagraphFont"/>
    <w:link w:val="CitaoIntensa"/>
    <w:uiPriority w:val="30"/>
    <w:qFormat/>
    <w:rsid w:val="006859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9e9"/>
    <w:rPr>
      <w:b/>
      <w:bCs/>
      <w:smallCaps/>
      <w:color w:val="2F5496" w:themeColor="accent1" w:themeShade="bf"/>
      <w:spacing w:val="5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041939"/>
    <w:rPr/>
  </w:style>
  <w:style w:type="character" w:styleId="RodapChar" w:customStyle="1">
    <w:name w:val="Rodapé Char"/>
    <w:basedOn w:val="DefaultParagraphFont"/>
    <w:link w:val="Rodap"/>
    <w:uiPriority w:val="99"/>
    <w:qFormat/>
    <w:rsid w:val="00041939"/>
    <w:rPr/>
  </w:style>
  <w:style w:type="character" w:styleId="Strong">
    <w:name w:val="Strong"/>
    <w:basedOn w:val="DefaultParagraphFont"/>
    <w:uiPriority w:val="22"/>
    <w:qFormat/>
    <w:rsid w:val="00e724da"/>
    <w:rPr>
      <w:b/>
      <w:bCs/>
    </w:rPr>
  </w:style>
  <w:style w:type="character" w:styleId="LinkdaInternet">
    <w:name w:val="Link da Internet"/>
    <w:basedOn w:val="DefaultParagraphFont"/>
    <w:uiPriority w:val="99"/>
    <w:unhideWhenUsed/>
    <w:rsid w:val="00d57c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57ca5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6859e9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59e9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6859e9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9e9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6859e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0419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0419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Application>LibreOffice/6.4.5.2$Windows_X86_64 LibreOffice_project/a726b36747cf2001e06b58ad5db1aa3a9a1872d6</Application>
  <Pages>4</Pages>
  <Words>844</Words>
  <Characters>4798</Characters>
  <CharactersWithSpaces>5692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2026-02-04T13:17:00Z</dcterms:created>
  <dc:creator>Luis Tadeu Belloni</dc:creator>
  <dc:description/>
  <dc:language>pt-BR</dc:language>
  <cp:lastModifiedBy/>
  <cp:lastPrinted>2026-02-05T14:58:00Z</cp:lastPrinted>
  <dcterms:modified xsi:type="dcterms:W3CDTF">2026-02-25T14:08:41Z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