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150"/>
        <w:pBdr/>
        <w:shd w:val="clear" w:color="auto" w:fill="ffffff"/>
        <w:spacing w:after="0" w:before="0" w:line="276" w:lineRule="auto"/>
        <w:ind w:firstLine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EDITAL PADRONIZADO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0"/>
        <w:pBdr/>
        <w:shd w:val="clear" w:color="auto" w:fill="ffffff"/>
        <w:spacing w:after="0" w:before="0" w:line="276" w:lineRule="auto"/>
        <w:ind w:firstLine="0"/>
        <w:jc w:val="center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CHAMAMENTO PÚBLICO </w:t>
      </w:r>
      <w:r>
        <w:rPr>
          <w:b/>
          <w:sz w:val="24"/>
          <w:szCs w:val="24"/>
        </w:rPr>
        <w:t xml:space="preserve">12/2026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1150"/>
        <w:pBdr/>
        <w:shd w:val="clear" w:color="auto" w:fill="ffffff"/>
        <w:spacing w:after="0" w:before="0" w:line="276" w:lineRule="auto"/>
        <w:ind w:firstLine="0"/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REDE </w:t>
      </w:r>
      <w:r>
        <w:rPr>
          <w:sz w:val="24"/>
          <w:szCs w:val="24"/>
        </w:rPr>
        <w:t xml:space="preserve">MUNICIPAL </w:t>
      </w:r>
      <w:r>
        <w:rPr>
          <w:sz w:val="24"/>
          <w:szCs w:val="24"/>
        </w:rPr>
        <w:t xml:space="preserve">DE PONTOS DE CULTURA DE </w:t>
      </w:r>
      <w:r>
        <w:rPr>
          <w:sz w:val="24"/>
          <w:szCs w:val="24"/>
        </w:rPr>
        <w:t xml:space="preserve">SÃO LEOPOLDO-RS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1150"/>
        <w:pBdr/>
        <w:shd w:val="clear" w:color="auto" w:fill="ffffff"/>
        <w:spacing w:after="0" w:before="0" w:line="276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0"/>
        <w:pBdr/>
        <w:shd w:val="clear" w:color="auto" w:fill="ffffff"/>
        <w:spacing w:after="0" w:before="0" w:line="276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CULTURA VIVA DO TAMANHO DO BRASIL!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150"/>
        <w:pBdr/>
        <w:shd w:val="clear" w:color="auto" w:fill="ffffff"/>
        <w:spacing w:after="0" w:before="0" w:line="276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FOMENTO A PROJETOS CONTINUADOS DE PONTOS DE CULTURA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150"/>
        <w:pBdr/>
        <w:shd w:val="clear" w:color="auto" w:fill="ffffff"/>
        <w:spacing w:after="0" w:before="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150"/>
        <w:pBdr/>
        <w:tabs>
          <w:tab w:val="center" w:leader="none" w:pos="0"/>
          <w:tab w:val="clear" w:leader="none" w:pos="720"/>
        </w:tabs>
        <w:spacing w:after="120" w:before="120" w:line="240" w:lineRule="auto"/>
        <w:ind w:firstLine="0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ANEXO 10 - MINUTA DE TERMO DE COMPROMISSO CULTURAL - PONTO DE CULTURA 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</w:p>
    <w:p>
      <w:pPr>
        <w:pStyle w:val="1150"/>
        <w:keepNext w:val="true"/>
        <w:pBdr/>
        <w:spacing w:after="0" w:before="0" w:line="240" w:lineRule="auto"/>
        <w:ind w:firstLine="0" w:left="0"/>
        <w:jc w:val="center"/>
        <w:rPr>
          <w:rFonts w:ascii="Calibri" w:hAnsi="Calibri" w:eastAsia="Calibri" w:cs="Calibri"/>
          <w:sz w:val="20"/>
          <w:szCs w:val="20"/>
        </w:rPr>
      </w:pPr>
      <w:r>
        <w:rPr>
          <w:rFonts w:eastAsia="Calibri" w:cs="Calibri"/>
          <w:i/>
          <w:color w:val="ff0000"/>
          <w:sz w:val="20"/>
          <w:szCs w:val="20"/>
        </w:rPr>
        <w:t xml:space="preserve">(Rubricar todas as páginas)</w:t>
      </w:r>
      <w:r>
        <w:rPr>
          <w:rFonts w:ascii="Calibri" w:hAnsi="Calibri" w:eastAsia="Calibri" w:cs="Calibri"/>
          <w:sz w:val="20"/>
          <w:szCs w:val="20"/>
        </w:rPr>
      </w:r>
      <w:r>
        <w:rPr>
          <w:rFonts w:ascii="Calibri" w:hAnsi="Calibri" w:eastAsia="Calibri" w:cs="Calibri"/>
          <w:sz w:val="20"/>
          <w:szCs w:val="20"/>
        </w:rPr>
      </w:r>
    </w:p>
    <w:p>
      <w:pPr>
        <w:pStyle w:val="1150"/>
        <w:pBdr/>
        <w:spacing w:after="120" w:before="12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Style w:val="1150"/>
        <w:pBdr/>
        <w:spacing w:after="120" w:before="120" w:line="240" w:lineRule="auto"/>
        <w:ind w:firstLine="0" w:left="0"/>
        <w:jc w:val="both"/>
        <w:rPr>
          <w:b/>
          <w:sz w:val="24"/>
          <w:szCs w:val="24"/>
        </w:rPr>
      </w:pPr>
      <w:r>
        <w:rPr>
          <w:rFonts w:eastAsia="Calibri" w:cs="Calibri"/>
          <w:b/>
          <w:sz w:val="24"/>
          <w:szCs w:val="24"/>
        </w:rPr>
        <w:t xml:space="preserve">TERMO DE COMPROMISSO CULTURAL Nº </w:t>
      </w:r>
      <w:r>
        <w:rPr>
          <w:rFonts w:eastAsia="Calibri" w:cs="Calibri"/>
          <w:b/>
          <w:sz w:val="24"/>
          <w:szCs w:val="24"/>
        </w:rPr>
        <w:t xml:space="preserve">XX/2026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  <w:shd w:val="clear" w:color="auto" w:fill="b7b7b7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1.</w:t>
            </w:r>
            <w:r>
              <w:rPr>
                <w:rFonts w:eastAsia="Calibri" w:cs="Calibri"/>
                <w:sz w:val="24"/>
                <w:szCs w:val="24"/>
              </w:rPr>
              <w:t xml:space="preserve">        </w:t>
            </w:r>
            <w:r>
              <w:rPr>
                <w:rFonts w:eastAsia="Calibri" w:cs="Calibri"/>
                <w:b/>
                <w:sz w:val="24"/>
                <w:szCs w:val="24"/>
              </w:rPr>
              <w:t xml:space="preserve">FINALIDADE</w:t>
            </w:r>
            <w:r>
              <w:rPr>
                <w:rFonts w:ascii="Calibri" w:hAnsi="Calibri" w:eastAsia="Calibri" w:cs="Calibri"/>
                <w:b/>
                <w:sz w:val="24"/>
                <w:szCs w:val="24"/>
                <w:shd w:val="clear" w:color="auto" w:fill="b7b7b7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  <w:shd w:val="clear" w:color="auto" w:fill="b7b7b7"/>
              </w:rPr>
            </w:r>
          </w:p>
        </w:tc>
      </w:tr>
      <w:tr>
        <w:trPr>
          <w:trHeight w:val="1635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</w:t>
            </w:r>
            <w:r>
              <w:rPr>
                <w:sz w:val="24"/>
                <w:szCs w:val="24"/>
              </w:rPr>
              <w:t xml:space="preserve">MUNICÍPIO DE SÃO LEOPOLDO,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representado p</w:t>
            </w:r>
            <w:r>
              <w:rPr>
                <w:sz w:val="24"/>
                <w:szCs w:val="24"/>
              </w:rPr>
              <w:t xml:space="preserve">ela Secretaria Municipal de Cultura e Turismo</w:t>
            </w:r>
            <w:r>
              <w:rPr>
                <w:sz w:val="24"/>
                <w:szCs w:val="24"/>
              </w:rPr>
              <w:t xml:space="preserve">, e a ENTIDADE CULTURAL celebram o present</w:t>
            </w:r>
            <w:r>
              <w:rPr>
                <w:sz w:val="24"/>
                <w:szCs w:val="24"/>
              </w:rPr>
              <w:t xml:space="preserve">e TERMO DE COMPROMISSO CULTURAL - TCC, com a finalidade de executar Projeto Cultural, nos termos do Plano de Trabalho anexo, para implementação da Política Nacional de Cultura Viva – PNCV, mediante as condições estipuladas em suas Cláusulas, nos termos da </w:t>
            </w:r>
            <w:hyperlink r:id="rId15" w:tooltip="https://www.planalto.gov.br/ccivil_03/_ato2019-2022/2022/lei/l14399.htm" w:history="1">
              <w:r>
                <w:rPr>
                  <w:sz w:val="24"/>
                  <w:szCs w:val="24"/>
                  <w:u w:val="single"/>
                </w:rPr>
                <w:t xml:space="preserve">Lei nº 14.399/2022</w:t>
              </w:r>
            </w:hyperlink>
            <w:r>
              <w:rPr>
                <w:sz w:val="24"/>
                <w:szCs w:val="24"/>
              </w:rPr>
              <w:t xml:space="preserve"> (Política Nacional Aldir Blanc), no</w:t>
            </w:r>
            <w:hyperlink r:id="rId16" w:tooltip="https://www.planalto.gov.br/ccivil_03/_ato2023-2026/2023/decreto/D11740.htm" w:history="1">
              <w:r>
                <w:rPr>
                  <w:sz w:val="24"/>
                  <w:szCs w:val="24"/>
                </w:rPr>
                <w:t xml:space="preserve"> </w:t>
              </w:r>
            </w:hyperlink>
            <w:r/>
            <w:hyperlink r:id="rId17" w:tooltip="https://www.planalto.gov.br/ccivil_03/_ato2023-2026/2023/decreto/D11740.htm" w:history="1">
              <w:r>
                <w:rPr>
                  <w:sz w:val="24"/>
                  <w:szCs w:val="24"/>
                  <w:u w:val="single"/>
                </w:rPr>
                <w:t xml:space="preserve">Decreto nº 11.740/2023</w:t>
              </w:r>
            </w:hyperlink>
            <w:r>
              <w:rPr>
                <w:sz w:val="24"/>
                <w:szCs w:val="24"/>
              </w:rPr>
              <w:t xml:space="preserve">, </w:t>
            </w:r>
            <w:hyperlink r:id="rId18" w:tooltip="https://www.in.gov.br/web/dou/-/portaria-minc-n-200-de-11-de-abril-de-2025-623760804" w:history="1">
              <w:r>
                <w:rPr>
                  <w:sz w:val="24"/>
                  <w:szCs w:val="24"/>
                  <w:u w:val="single"/>
                </w:rPr>
                <w:t xml:space="preserve">Portaria MinC nº 200/2025</w:t>
              </w:r>
            </w:hyperlink>
            <w:r/>
            <w:hyperlink r:id="rId19" w:tooltip="https://www.in.gov.br/web/dou/-/portaria-minc-n-80-de-27-de-outubro-de-2023-519652245" w:history="1">
              <w:r>
                <w:rPr>
                  <w:sz w:val="24"/>
                  <w:szCs w:val="24"/>
                </w:rPr>
                <w:t xml:space="preserve">, </w:t>
              </w:r>
            </w:hyperlink>
            <w:r/>
            <w:hyperlink r:id="rId20" w:tooltip="https://www.in.gov.br/en/web/dou/-/portaria-minc-n-206-de-13-de-maio-de-2025-629208189" w:history="1">
              <w:r>
                <w:rPr>
                  <w:sz w:val="24"/>
                  <w:szCs w:val="24"/>
                  <w:u w:val="single"/>
                </w:rPr>
                <w:t xml:space="preserve">Portaria MinC nº 206/2025</w:t>
              </w:r>
            </w:hyperlink>
            <w:r/>
            <w:hyperlink r:id="rId21" w:tooltip="https://www.in.gov.br/web/dou/-/portaria-minc-n-80-de-27-de-outubro-de-2023-519652245" w:history="1">
              <w:r>
                <w:rPr>
                  <w:sz w:val="24"/>
                  <w:szCs w:val="24"/>
                </w:rPr>
                <w:t xml:space="preserve"> </w:t>
              </w:r>
            </w:hyperlink>
            <w:r>
              <w:rPr>
                <w:sz w:val="24"/>
                <w:szCs w:val="24"/>
              </w:rPr>
              <w:t xml:space="preserve">(Regulamentam a PNAB), na</w:t>
            </w:r>
            <w:hyperlink r:id="rId22" w:tooltip="https://www.planalto.gov.br/ccivil_03/_ato2011-2014/2014/lei/l13018.htm" w:history="1">
              <w:r>
                <w:rPr>
                  <w:sz w:val="24"/>
                  <w:szCs w:val="24"/>
                </w:rPr>
                <w:t xml:space="preserve"> </w:t>
              </w:r>
            </w:hyperlink>
            <w:r/>
            <w:hyperlink r:id="rId23" w:tooltip="https://www.planalto.gov.br/ccivil_03/_ato2011-2014/2014/lei/l13018.htm" w:history="1">
              <w:r>
                <w:rPr>
                  <w:sz w:val="24"/>
                  <w:szCs w:val="24"/>
                  <w:u w:val="single"/>
                </w:rPr>
                <w:t xml:space="preserve">Lei nº 13.018/2014</w:t>
              </w:r>
            </w:hyperlink>
            <w:r>
              <w:rPr>
                <w:sz w:val="24"/>
                <w:szCs w:val="24"/>
              </w:rPr>
              <w:t xml:space="preserve"> (Política Nacional de Cultura Viva), na</w:t>
            </w:r>
            <w:hyperlink r:id="rId24" w:tooltip="https://www.gov.br/cultura/pt-br/acesso-a-informacao/legislacao-e-normativas/instrucao-normativa-minc-no-1-de-7-de-abril-de-2015-1" w:history="1">
              <w:r>
                <w:rPr>
                  <w:sz w:val="24"/>
                  <w:szCs w:val="24"/>
                </w:rPr>
                <w:t xml:space="preserve"> </w:t>
              </w:r>
            </w:hyperlink>
            <w:r/>
            <w:hyperlink r:id="rId25" w:tooltip="https://www.gov.br/cultura/pt-br/acesso-a-informacao/legislacao-e-normativas/instrucao-normativa-minc-no-1-de-7-de-abril-de-2015-1" w:history="1">
              <w:r>
                <w:rPr>
                  <w:sz w:val="24"/>
                  <w:szCs w:val="24"/>
                  <w:u w:val="single"/>
                </w:rPr>
                <w:t xml:space="preserve">Instrução Normativa MinC nº 1/2015</w:t>
              </w:r>
            </w:hyperlink>
            <w:r>
              <w:rPr>
                <w:sz w:val="24"/>
                <w:szCs w:val="24"/>
              </w:rPr>
              <w:t xml:space="preserve">, e na</w:t>
            </w:r>
            <w:hyperlink r:id="rId26" w:tooltip="https://www.in.gov.br/en/web/dou/-/instrucao-normativa-minc-n-12-de-28-de-maio-de-2024-562732255" w:history="1">
              <w:r>
                <w:rPr>
                  <w:sz w:val="24"/>
                  <w:szCs w:val="24"/>
                </w:rPr>
                <w:t xml:space="preserve"> </w:t>
              </w:r>
            </w:hyperlink>
            <w:r/>
            <w:hyperlink r:id="rId27" w:tooltip="https://www.in.gov.br/en/web/dou/-/instrucao-normativa-minc-n-12-de-28-de-maio-de-2024-562732255" w:history="1">
              <w:r>
                <w:rPr>
                  <w:sz w:val="24"/>
                  <w:szCs w:val="24"/>
                  <w:u w:val="single"/>
                </w:rPr>
                <w:t xml:space="preserve">Instrução Normativa MINC nº 12/2024</w:t>
              </w:r>
            </w:hyperlink>
            <w:r>
              <w:rPr>
                <w:sz w:val="24"/>
                <w:szCs w:val="24"/>
              </w:rPr>
              <w:t xml:space="preserve">, ou em ato normativo correspondente em vigor (Regulamentam a PNCV),  aplicando-se também, no que couber, como complementação em situações não previstas na  Política Nacional de Cultura Viva, o</w:t>
            </w:r>
            <w:hyperlink r:id="rId28" w:tooltip="https://www.planalto.gov.br/ccivil_03/_ato2023-2026/2023/decreto/D11453.htm" w:history="1">
              <w:r>
                <w:rPr>
                  <w:sz w:val="24"/>
                  <w:szCs w:val="24"/>
                </w:rPr>
                <w:t xml:space="preserve"> </w:t>
              </w:r>
            </w:hyperlink>
            <w:r/>
            <w:hyperlink r:id="rId29" w:tooltip="https://www.planalto.gov.br/ccivil_03/_ato2023-2026/2023/decreto/D11453.htm" w:history="1">
              <w:r>
                <w:rPr>
                  <w:sz w:val="24"/>
                  <w:szCs w:val="24"/>
                  <w:u w:val="single"/>
                </w:rPr>
                <w:t xml:space="preserve">Decreto nº 11.453/2023</w:t>
              </w:r>
            </w:hyperlink>
            <w:r>
              <w:rPr>
                <w:sz w:val="24"/>
                <w:szCs w:val="24"/>
              </w:rPr>
              <w:t xml:space="preserve"> (Decreto de Fomento) e o </w:t>
            </w:r>
            <w:hyperlink r:id="rId30" w:tooltip="https://www.planalto.gov.br/ccivil_03/_ato2023-2026/2024/lei/L14903.htm" w:history="1">
              <w:r>
                <w:rPr>
                  <w:sz w:val="24"/>
                  <w:szCs w:val="24"/>
                  <w:u w:val="single"/>
                </w:rPr>
                <w:t xml:space="preserve">Marco Regulatório do Fomento à Cultura nº 14.903/2024</w:t>
              </w:r>
            </w:hyperlink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1150"/>
        <w:pBdr/>
        <w:spacing w:after="120" w:before="12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tbl>
      <w:tblPr>
        <w:tblInd w:w="0" w:type="dxa"/>
        <w:tblW w:w="9960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2910"/>
        <w:gridCol w:w="2070"/>
        <w:gridCol w:w="1499"/>
        <w:gridCol w:w="3480"/>
      </w:tblGrid>
      <w:tr>
        <w:trPr>
          <w:trHeight w:val="525"/>
        </w:trPr>
        <w:tc>
          <w:tcPr>
            <w:gridSpan w:val="4"/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5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2.</w:t>
            </w:r>
            <w:r>
              <w:rPr>
                <w:rFonts w:eastAsia="Calibri" w:cs="Calibri"/>
                <w:sz w:val="24"/>
                <w:szCs w:val="24"/>
              </w:rPr>
              <w:t xml:space="preserve">        </w:t>
            </w:r>
            <w:r>
              <w:rPr>
                <w:rFonts w:eastAsia="Calibri" w:cs="Calibri"/>
                <w:b/>
                <w:sz w:val="24"/>
                <w:szCs w:val="24"/>
              </w:rPr>
              <w:t xml:space="preserve">IDENTIFICAÇÃO DAS PARTES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gridSpan w:val="4"/>
            <w:shd w:val="clear" w:color="auto" w:fill="d9d9d9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5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2.1. ENTE PÚBLICO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Razão Social: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CNPJ: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Endereço completo: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Nome do responsável legal: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Cargo: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Registro Geral (RG):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207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shd w:val="clear" w:color="auto" w:fill="d9d9d9"/>
            <w:tcBorders>
              <w:bottom w:val="single" w:color="000000" w:sz="6" w:space="0"/>
              <w:right w:val="single" w:color="000000" w:sz="6" w:space="0"/>
            </w:tcBorders>
            <w:tcW w:w="149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CPF: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348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Ato de nomeação: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4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gridSpan w:val="4"/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5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2.2. ENTIDADE CULTURAL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</w:tc>
      </w:tr>
      <w:tr>
        <w:trPr>
          <w:trHeight w:val="540"/>
        </w:trPr>
        <w:tc>
          <w:tcPr>
            <w:shd w:val="clear" w:color="auto" w:fill="d9d9d9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Razão Social: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000000" w:sz="4" w:space="0"/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40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CNPJ: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Endereço completo: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Nome do responsável legal: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Cargo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Registro Geral (RG):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207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shd w:val="clear" w:color="auto" w:fill="d9d9d9"/>
            <w:tcBorders>
              <w:bottom w:val="single" w:color="000000" w:sz="6" w:space="0"/>
              <w:right w:val="single" w:color="000000" w:sz="6" w:space="0"/>
            </w:tcBorders>
            <w:tcW w:w="149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CPF: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348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795"/>
        </w:trPr>
        <w:tc>
          <w:tcPr>
            <w:shd w:val="clear" w:color="auto" w:fill="d9d9d9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10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Endereço completo do responsável legal: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bottom w:val="single" w:color="000000" w:sz="6" w:space="0"/>
              <w:right w:val="single" w:color="000000" w:sz="6" w:space="0"/>
            </w:tcBorders>
            <w:tcW w:w="704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 w:after="120" w:before="12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                                        </w:t>
      </w:r>
      <w:r>
        <w:rPr>
          <w:rFonts w:eastAsia="Calibri" w:cs="Calibri"/>
          <w:sz w:val="24"/>
          <w:szCs w:val="24"/>
        </w:rPr>
        <w:tab/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3.</w:t>
            </w:r>
            <w:r>
              <w:rPr>
                <w:rFonts w:eastAsia="Calibri" w:cs="Calibri"/>
                <w:sz w:val="24"/>
                <w:szCs w:val="24"/>
              </w:rPr>
              <w:t xml:space="preserve">        </w:t>
            </w:r>
            <w:r>
              <w:rPr>
                <w:rFonts w:eastAsia="Calibri" w:cs="Calibri"/>
                <w:b/>
                <w:sz w:val="24"/>
                <w:szCs w:val="24"/>
              </w:rPr>
              <w:t xml:space="preserve">OBJETO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</w:tc>
      </w:tr>
      <w:tr>
        <w:trPr>
          <w:trHeight w:val="1080"/>
        </w:trPr>
        <w:tc>
          <w:tcPr>
            <w:shd w:val="clear" w:color="auto" w:fill="ffffff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3.1.</w:t>
            </w:r>
            <w:r>
              <w:rPr>
                <w:rFonts w:eastAsia="Calibri" w:cs="Calibri"/>
                <w:sz w:val="24"/>
                <w:szCs w:val="24"/>
              </w:rPr>
              <w:t xml:space="preserve"> O presente Termo de Compromisso Cultural-TCC tem como objeto</w:t>
            </w:r>
            <w:r>
              <w:rPr>
                <w:sz w:val="24"/>
                <w:szCs w:val="24"/>
              </w:rPr>
              <w:t xml:space="preserve"> a execução de projeto selecionado no</w:t>
            </w:r>
            <w:r>
              <w:rPr>
                <w:color w:val="ff0000"/>
                <w:sz w:val="24"/>
                <w:szCs w:val="24"/>
              </w:rPr>
              <w:t xml:space="preserve"> Edital XXX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highlight w:val="white"/>
              </w:rPr>
              <w:t xml:space="preserve">que visa a promoção do acesso da população aos bens e aos serviços culturais nos territórios e comunidades onde atuam, nos termos da Política Nacional de Cultura Viva - PNCV, conforme Plano de Trabalho anexo.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firstLine="0" w:left="0"/>
        <w:rPr/>
      </w:pPr>
      <w:r>
        <w:rPr>
          <w:rFonts w:eastAsia="Calibri" w:cs="Calibri"/>
          <w:sz w:val="24"/>
          <w:szCs w:val="24"/>
        </w:rPr>
        <w:t xml:space="preserve">                                                  </w:t>
      </w:r>
      <w:r>
        <w:rPr>
          <w:rFonts w:eastAsia="Calibri" w:cs="Calibri"/>
          <w:sz w:val="24"/>
          <w:szCs w:val="24"/>
        </w:rPr>
        <w:tab/>
        <w:t xml:space="preserve">                                                 </w:t>
        <w:tab/>
      </w:r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4.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OBRIGAÇÕES DAS PARTES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rFonts w:eastAsia="Calibri" w:cs="Calibri"/>
                <w:b/>
                <w:sz w:val="24"/>
                <w:szCs w:val="24"/>
              </w:rPr>
              <w:t xml:space="preserve">.1.</w:t>
            </w:r>
            <w:r>
              <w:rPr>
                <w:rFonts w:eastAsia="Calibri" w:cs="Calibri"/>
                <w:sz w:val="24"/>
                <w:szCs w:val="24"/>
              </w:rPr>
              <w:t xml:space="preserve">   </w:t>
            </w:r>
            <w:r>
              <w:rPr>
                <w:rFonts w:eastAsia="Calibri" w:cs="Calibri"/>
                <w:b/>
                <w:sz w:val="24"/>
                <w:szCs w:val="24"/>
              </w:rPr>
              <w:t xml:space="preserve">Do </w:t>
            </w:r>
            <w:r>
              <w:rPr>
                <w:b/>
                <w:sz w:val="24"/>
                <w:szCs w:val="24"/>
              </w:rPr>
              <w:t xml:space="preserve">[NOME DO ESTADO/MUNICÍPIO]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</w:tc>
      </w:tr>
      <w:tr>
        <w:trPr>
          <w:trHeight w:val="699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Incumbe </w:t>
            </w:r>
            <w:r>
              <w:rPr>
                <w:sz w:val="24"/>
                <w:szCs w:val="24"/>
              </w:rPr>
              <w:t xml:space="preserve">à </w:t>
            </w:r>
            <w:r>
              <w:rPr>
                <w:sz w:val="24"/>
                <w:szCs w:val="24"/>
              </w:rPr>
              <w:t xml:space="preserve">SECULT-PMSL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 w:cs="Calibri"/>
                <w:sz w:val="24"/>
                <w:szCs w:val="24"/>
              </w:rPr>
              <w:t xml:space="preserve">observar as obrigações descritas na Instrução </w:t>
            </w:r>
            <w:r>
              <w:rPr>
                <w:sz w:val="24"/>
                <w:szCs w:val="24"/>
              </w:rPr>
              <w:t xml:space="preserve">legislação de regência</w:t>
            </w:r>
            <w:r>
              <w:rPr>
                <w:rFonts w:eastAsia="Calibri" w:cs="Calibri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e </w:t>
            </w:r>
            <w:r>
              <w:rPr>
                <w:rFonts w:eastAsia="Calibri" w:cs="Calibri"/>
                <w:sz w:val="24"/>
                <w:szCs w:val="24"/>
              </w:rPr>
              <w:t xml:space="preserve">as seguintes responsabilidades: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 - coordenar a gestão da PNCV, no âmbito de sua esfera de atuação;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atuar em parceria federativa junto ao governo federal, governos estaduais, do Distrito Federal e municipais, e outras instituições, para efetivação dos objetivos da PNCV previstos em lei;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III - realizar planejamento de desenvolvimento da PNCV, observando o P</w:t>
            </w:r>
            <w:r>
              <w:rPr>
                <w:sz w:val="24"/>
                <w:szCs w:val="24"/>
              </w:rPr>
              <w:t xml:space="preserve">lano Nacional de Cultura</w:t>
            </w:r>
            <w:r>
              <w:rPr>
                <w:rFonts w:eastAsia="Calibri" w:cs="Calibri"/>
                <w:sz w:val="24"/>
                <w:szCs w:val="24"/>
              </w:rPr>
              <w:t xml:space="preserve"> e planos de cultura locais;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IV - garantir recursos humanos, orçamentários, financeiros, logísticos e tecnológicos para implementação da PNCV e efetividade de seus resultados;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 -  desenvolver uma gestão pública compartilhada e participativa, por meio da organização e institucionalização das instâncias, fóruns e espaços de diálogos institucionais entre os partícipes da PNCV, em sua área de abrangência territorial;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VI - desenvolver as ações estruturantes da PNCV por meio de políticas públicas integradas visando a promoção em uma cultura de direitos humanos e de valorização da cidadania e da diversidade artística e cultural;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VII - disponibilizar e manter em funcionamento o Cadastro Nacional dos </w:t>
            </w:r>
            <w:r>
              <w:rPr>
                <w:sz w:val="24"/>
                <w:szCs w:val="24"/>
              </w:rPr>
              <w:t xml:space="preserve">Pontos</w:t>
            </w:r>
            <w:r>
              <w:rPr>
                <w:rFonts w:eastAsia="Calibri" w:cs="Calibri"/>
                <w:sz w:val="24"/>
                <w:szCs w:val="24"/>
              </w:rPr>
              <w:t xml:space="preserve"> e Pontões de Cultura, no âmbito de sua esfera de atuação;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VIII - fomentar ações para qualificação e formação de gestores, dirigentes de entidades culturais e outros agentes envolvidos no âmbito da PNCV;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IX - dar ciência da celebração de parcerias federativas, no que couber, aos conselhos de cultura, assembleias legislativas e câmaras municipais de vereadores para efeitos de acompanhamento e fiscalização;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 - promover ações de publicidade da PNCV que proporcionem controle social, transparência pública e visibilidade das ações junto à sociedade;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 - contribuir para o fortalecimento da atuação em redes territoriais, identitárias e temáticas no âmbito da PNCV;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XII - realizar os atos e os procedimentos relativos à formalização, execução, acompanhamento e análise da prestação de contas do presente TCC;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XIII - realizar os procedimentos relativos à Tomada de Contas Especial, quando for o caso;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XIV - cumprir com os procedimentos de transparência e publicidade atribuídos ao poder público conforme o disposto na Seção III da IN MinC nº 08 de 11 de maio de 2016;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XV - repassar os recursos financeiros ao PONT</w:t>
            </w:r>
            <w:r>
              <w:rPr>
                <w:sz w:val="24"/>
                <w:szCs w:val="24"/>
              </w:rPr>
              <w:t xml:space="preserve">O</w:t>
            </w:r>
            <w:r>
              <w:rPr>
                <w:rFonts w:eastAsia="Calibri" w:cs="Calibri"/>
                <w:sz w:val="24"/>
                <w:szCs w:val="24"/>
              </w:rPr>
              <w:t xml:space="preserve"> DE CULTURA, de acordo com a programação orçamentária e financeira do ente público, obedecendo ao cronograma financeiro constante deste instrumento e do plano de trabalho;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XVI - prorrogar “de ofício” o prazo de vigência do TCC antes do seu término, quando der causa ao atraso na liberação dos recursos, limitada </w:t>
            </w:r>
            <w:r>
              <w:rPr>
                <w:sz w:val="24"/>
                <w:szCs w:val="24"/>
              </w:rPr>
              <w:t xml:space="preserve">à</w:t>
            </w:r>
            <w:r>
              <w:rPr>
                <w:rFonts w:eastAsia="Calibri" w:cs="Calibri"/>
                <w:sz w:val="24"/>
                <w:szCs w:val="24"/>
              </w:rPr>
              <w:t xml:space="preserve"> prorrogação ao exato período do atraso verificado;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XVII - aplicar as penalidades previstas e proceder às ações administrativas necessárias à exigência da restituição dos recursos transferidos;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XVIII - comunicar aos </w:t>
            </w:r>
            <w:r>
              <w:rPr>
                <w:sz w:val="24"/>
                <w:szCs w:val="24"/>
              </w:rPr>
              <w:t xml:space="preserve">Pontos</w:t>
            </w:r>
            <w:r>
              <w:rPr>
                <w:rFonts w:eastAsia="Calibri" w:cs="Calibri"/>
                <w:sz w:val="24"/>
                <w:szCs w:val="24"/>
              </w:rPr>
              <w:t xml:space="preserve"> e Pontões de Cultura a identificação de quaisquer irregularidades decorre</w:t>
            </w:r>
            <w:r>
              <w:rPr>
                <w:rFonts w:eastAsia="Calibri" w:cs="Calibri"/>
                <w:sz w:val="24"/>
                <w:szCs w:val="24"/>
              </w:rPr>
              <w:t xml:space="preserve">ntes do uso dos recursos ou pendências de ordem técnica, podendo suspender a liberação de recursos e fixar prazo de trinta dias para saneamento ou apresentação de justificativa com informações e esclarecimentos, prorrogável uma única vez por igual período.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XIX - analisar a prestação de contas dos recursos aplicados na consecução do objeto deste TCC, na forma e prazo fixados no Dec</w:t>
            </w:r>
            <w:r>
              <w:rPr>
                <w:sz w:val="24"/>
                <w:szCs w:val="24"/>
              </w:rPr>
              <w:t xml:space="preserve">reto nº 11.453/2023 e no</w:t>
            </w:r>
            <w:r>
              <w:rPr>
                <w:rFonts w:eastAsia="Calibri" w:cs="Calibri"/>
                <w:sz w:val="24"/>
                <w:szCs w:val="24"/>
              </w:rPr>
              <w:t xml:space="preserve"> art. 47 da IN MinC nº 08</w:t>
            </w:r>
            <w:r>
              <w:rPr>
                <w:sz w:val="24"/>
                <w:szCs w:val="24"/>
              </w:rPr>
              <w:t xml:space="preserve">/2016;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XX - nos casos em que o PONT</w:t>
            </w:r>
            <w:r>
              <w:rPr>
                <w:sz w:val="24"/>
                <w:szCs w:val="24"/>
              </w:rPr>
              <w:t xml:space="preserve">O</w:t>
            </w:r>
            <w:r>
              <w:rPr>
                <w:rFonts w:eastAsia="Calibri" w:cs="Calibri"/>
                <w:sz w:val="24"/>
                <w:szCs w:val="24"/>
              </w:rPr>
              <w:t xml:space="preserve"> DE CULTURA não apresentar o Relatório de Execuç</w:t>
            </w:r>
            <w:r>
              <w:rPr>
                <w:rFonts w:eastAsia="Calibri" w:cs="Calibri"/>
                <w:sz w:val="24"/>
                <w:szCs w:val="24"/>
              </w:rPr>
              <w:t xml:space="preserve">ão do Objeto ou o Relatório de Execução Financeira nos prazos devidos, enviar notificação exigindo que o faça no prazo máximo de trinta dias, sob pena de rejeição das contas e exigência de devolução integral dos recursos, com atualização monetária e juros;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XXI - exercer, se conveniente e oportuno, a prerrogativa de assumir ou de transferir a responsabilidade pela execução do objeto, no caso de paralisação ou da ocorrência de fato relevante, de modo a evitar sua descontinuidade.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rFonts w:eastAsia="Calibri" w:cs="Calibri"/>
                <w:b/>
                <w:sz w:val="24"/>
                <w:szCs w:val="24"/>
              </w:rPr>
              <w:t xml:space="preserve">.2.</w:t>
            </w:r>
            <w:r>
              <w:rPr>
                <w:rFonts w:eastAsia="Calibri" w:cs="Calibri"/>
                <w:sz w:val="24"/>
                <w:szCs w:val="24"/>
              </w:rPr>
              <w:t xml:space="preserve">   </w:t>
            </w:r>
            <w:r>
              <w:rPr>
                <w:rFonts w:eastAsia="Calibri" w:cs="Calibri"/>
                <w:b/>
                <w:sz w:val="24"/>
                <w:szCs w:val="24"/>
              </w:rPr>
              <w:t xml:space="preserve">Da Entidade Cultural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</w:tc>
      </w:tr>
      <w:tr>
        <w:trPr>
          <w:trHeight w:val="226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Incumbe à Entidade Cultural observar as obrigações descritas na </w:t>
            </w:r>
            <w:r>
              <w:rPr>
                <w:sz w:val="24"/>
                <w:szCs w:val="24"/>
              </w:rPr>
              <w:t xml:space="preserve">legislação de regência</w:t>
            </w:r>
            <w:r>
              <w:rPr>
                <w:rFonts w:eastAsia="Calibri" w:cs="Calibri"/>
                <w:sz w:val="24"/>
                <w:szCs w:val="24"/>
              </w:rPr>
              <w:t xml:space="preserve"> e, ainda, as seguintes responsabilidades: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 - executar o projeto conforme Plano de Trabalho aprovado e produzir provas documentais sobre o andamento da execução do projeto, inclusive das alterações no Plano de Trabalho;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cumprir com os procedimentos de transparência e publicidade atribuídos à entidade cultural conforme o disposto no Capítulo IV,  Seção III da IN MinC nº 08 de 11 de maio de 2016;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III - divulgar, em destaque, o nome do Ministério da Cultura/Governo Federal e do ENTE PÚBLICO parceiro em todos </w:t>
            </w:r>
            <w:r>
              <w:rPr>
                <w:rFonts w:eastAsia="Calibri" w:cs="Calibri"/>
                <w:sz w:val="24"/>
                <w:szCs w:val="24"/>
              </w:rPr>
              <w:t xml:space="preserve">os atos de promoção e divulgação do projeto, obedecendo aos critérios de veiculação das logomarcas estabelecidas, que serão disponibilizadas pela SCDC/MinC e pelo ENTE PÚBLICO parceiro, observadas as restrições vigentes em ano eleitoral, quando for o caso;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IV - desenvolver uma gestão compartilhada e participativa, por meio de instâncias, fóruns e espaços de diálogos junto aos beneficiários em sua área de abrangência;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 - envidar esforços visando atuar nos processos participativos instituídos pelo Sistema Nacional de Cultura-SNC (especialmente as Conferências de Cultura) e pela PNCV (especialmente as TEIAs) em âmbito local, regional e nacional;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VI - estimular a participação ativa dos beneficiários da PNCV nos processos participativos instituídos no SNC e na PNCV em âmbito local, regional e nacional;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VII - contribuir com a organização e funcionamento da Rede Cultura Viva e de suas instâncias, mecanismos e processos de gestão compartilhada, participação e controle social;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VIII - manter seus dados cadastrais atualizados no Cadastro Nacional de Pontos e Pontões de Cultura, atendendo à chamada anual de atualização de dados;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IX - dar transparência aos valores pagos a títul</w:t>
            </w:r>
            <w:r>
              <w:rPr>
                <w:rFonts w:eastAsia="Calibri" w:cs="Calibri"/>
                <w:sz w:val="24"/>
                <w:szCs w:val="24"/>
              </w:rPr>
              <w:t xml:space="preserve">o de remuneração de sua equipe de trabalho vinculada à execução do TCC, em sua sede e no seu sítio eletrônico, sendo vedado o pagamento, a qualquer título, a servidor ou empregado público, salvo nas hipóteses previstas em lei específica ou na Lei de Diretr</w:t>
            </w:r>
            <w:r>
              <w:rPr>
                <w:rFonts w:eastAsia="Calibri" w:cs="Calibri"/>
                <w:sz w:val="24"/>
                <w:szCs w:val="24"/>
              </w:rPr>
              <w:t xml:space="preserve">izes Orçamentárias, a empresas privadas que tenham em seu quadro societário servidor público da ativa, ou a empregado de empresa pública, ou de sociedade de economia mista, por serviços prestados, inclusive consultoria, assistência técnica ou assemelhados;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 - permitir livre acesso dos servidores dos órgãos ou das entidades públicas repassadoras dos recu</w:t>
            </w:r>
            <w:r>
              <w:rPr>
                <w:rFonts w:eastAsia="Calibri" w:cs="Calibri"/>
                <w:sz w:val="24"/>
                <w:szCs w:val="24"/>
              </w:rPr>
              <w:t xml:space="preserve">rsos, do controle interno e do tribunal de contas correspondentes aos processos, aos documentos, às informações referentes aos instrumentos de transferências regulamentados pela Instrução Normativa/MinC nº 8/2016, bem como aos locais de execução do objeto;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 - a responsabilidade exclusiva pelo gerenciamento administrativo e financeiro dos recursos recebidos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XII - pagar os encargos trabalhistas, previdenciários, fiscais e comerciais relativos ao</w:t>
            </w:r>
            <w:r>
              <w:rPr>
                <w:rFonts w:eastAsia="Calibri" w:cs="Calibri"/>
                <w:sz w:val="24"/>
                <w:szCs w:val="24"/>
              </w:rPr>
              <w:t xml:space="preserve"> funcionamento da instituição e ao adimplemento do TCC, não se caracterizando responsabilidade solidária ou subsidiária da administração pública concedente pelos respectivos pagamentos ou qualquer oneração do objeto da parceria ou restrição à sua execução;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XIII - prestar contas dos recursos recebidos, conforme acordado neste Termo e  na forma dos atos normativos que se relacionam com o tema;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XIV - guardar os documentos originais de comprovação do cumprimento do objeto pelo prazo de </w:t>
            </w:r>
            <w:r>
              <w:rPr>
                <w:sz w:val="24"/>
                <w:szCs w:val="24"/>
              </w:rPr>
              <w:t xml:space="preserve">cinco </w:t>
            </w:r>
            <w:r>
              <w:rPr>
                <w:rFonts w:eastAsia="Calibri" w:cs="Calibri"/>
                <w:sz w:val="24"/>
                <w:szCs w:val="24"/>
              </w:rPr>
              <w:t xml:space="preserve">anos após a entrega da prestação de contas, estando ciente de que a documentação de comprovação fiscal em princípio não será exigida, mas deve ser obtida e guardada pela entidade cultural pelo mesmo prazo, e </w:t>
            </w:r>
            <w:r>
              <w:rPr>
                <w:sz w:val="24"/>
                <w:szCs w:val="24"/>
              </w:rPr>
              <w:t xml:space="preserve">inclusive p</w:t>
            </w:r>
            <w:r>
              <w:rPr>
                <w:sz w:val="24"/>
                <w:szCs w:val="24"/>
              </w:rPr>
              <w:t xml:space="preserve">ode ser solicitada para fins de demonstração de cumprimento de obrigações perante outras autoridades estatais, tais como os órgãos de fiscalização tributária, previdenciária e trabalhista, órgãos de controle interno e externo do Governo Estadual ou Federal</w:t>
            </w:r>
            <w:r>
              <w:rPr>
                <w:rFonts w:eastAsia="Calibri" w:cs="Calibri"/>
                <w:sz w:val="24"/>
                <w:szCs w:val="24"/>
              </w:rPr>
              <w:t xml:space="preserve">; 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XV - </w:t>
            </w:r>
            <w:r>
              <w:rPr>
                <w:rFonts w:eastAsia="Calibri" w:cs="Calibri"/>
                <w:sz w:val="24"/>
                <w:szCs w:val="24"/>
              </w:rPr>
              <w:t xml:space="preserve">adquirir e manter em bom estado equipamentos multim</w:t>
            </w:r>
            <w:r>
              <w:rPr>
                <w:rFonts w:eastAsia="Calibri" w:cs="Calibri"/>
                <w:sz w:val="24"/>
                <w:szCs w:val="24"/>
              </w:rPr>
              <w:t xml:space="preserve">ídia, direcionados à cultura digital, que contribuam com o objeto pactuado, salvo quando a Entidade declare que já possui equipamento em adequadas condições de manutenção e funcionamento, comprometendo-se a disponibilizá-lo para uso na execução da parceria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5.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DOS VALORES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139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Para execução das atividades previstas no Plano de Trabalho deste TCC, serão disponibilizados pelo Ente Público recursos no valor total em desembolso único de </w:t>
            </w:r>
            <w:r>
              <w:rPr>
                <w:rFonts w:eastAsia="Calibri" w:cs="Calibri"/>
                <w:sz w:val="24"/>
                <w:szCs w:val="24"/>
              </w:rPr>
              <w:t xml:space="preserve">R$ 91.000,00</w:t>
            </w:r>
            <w:r>
              <w:rPr>
                <w:rFonts w:eastAsia="Calibri" w:cs="Calibri"/>
                <w:sz w:val="24"/>
                <w:szCs w:val="24"/>
              </w:rPr>
              <w:t xml:space="preserve">, de acordo com o Cronograma de Desembolso constante do Plano de Trabalho, correspondente à Nota de Empenho </w:t>
            </w:r>
            <w:r>
              <w:rPr>
                <w:rFonts w:eastAsia="Calibri" w:cs="Calibri"/>
                <w:color w:val="ff0000"/>
                <w:sz w:val="24"/>
                <w:szCs w:val="24"/>
              </w:rPr>
              <w:t xml:space="preserve">XXXX, de XX/XX/202</w:t>
            </w:r>
            <w:r>
              <w:rPr>
                <w:rFonts w:eastAsia="Calibri" w:cs="Calibri"/>
                <w:color w:val="ff0000"/>
                <w:sz w:val="24"/>
                <w:szCs w:val="24"/>
              </w:rPr>
              <w:t xml:space="preserve">6</w:t>
            </w:r>
            <w:r>
              <w:rPr>
                <w:rFonts w:eastAsia="Calibri" w:cs="Calibri"/>
                <w:color w:val="ff0000"/>
                <w:sz w:val="24"/>
                <w:szCs w:val="24"/>
              </w:rPr>
              <w:t xml:space="preserve">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5.1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Da movimentação dos recursos financeiros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226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Os recursos referentes ao presente Termo de Compromisso Cultural, a serem desembolsados pelo Ente Público, serão depositados e geridos em conta específica de instituição financeira indicada pela entidade cultural, na </w:t>
            </w:r>
            <w:r>
              <w:rPr>
                <w:rFonts w:eastAsia="Calibri" w:cs="Calibri"/>
                <w:color w:val="ff0000"/>
                <w:sz w:val="24"/>
                <w:szCs w:val="24"/>
              </w:rPr>
              <w:t xml:space="preserve">Agência XXXX – Banco XXXX, na cidade XXXX, UF XX,</w:t>
            </w:r>
            <w:r>
              <w:rPr>
                <w:rFonts w:eastAsia="Calibri" w:cs="Calibri"/>
                <w:sz w:val="24"/>
                <w:szCs w:val="24"/>
              </w:rPr>
              <w:t xml:space="preserve"> em conformidade com os prazos estabelecidos no Cronograma Financeiro constante do Plano de Trabalho.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5.1.1 </w:t>
            </w:r>
            <w:r>
              <w:rPr>
                <w:rFonts w:eastAsia="Calibri" w:cs="Calibri"/>
                <w:sz w:val="24"/>
                <w:szCs w:val="24"/>
              </w:rPr>
              <w:t xml:space="preserve">Os recursos depositados nesta conta bancária específica, enquanto não empregados na sua finalidade, serão obrigatoriamente aplicados: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 - em caderneta de poupança, ou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em fundo de aplicação financeira de curto prazo ou operação de mercado aberto lastreada em título da dívida pública.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5.1.2</w:t>
            </w:r>
            <w:r>
              <w:rPr>
                <w:rFonts w:eastAsia="Calibri" w:cs="Calibri"/>
                <w:sz w:val="24"/>
                <w:szCs w:val="24"/>
              </w:rPr>
              <w:t xml:space="preserve"> Os recursos dest</w:t>
            </w:r>
            <w:r>
              <w:rPr>
                <w:sz w:val="24"/>
                <w:szCs w:val="24"/>
              </w:rPr>
              <w:t xml:space="preserve">e Termo de Compromisso Cultural</w:t>
            </w:r>
            <w:r>
              <w:rPr>
                <w:rFonts w:eastAsia="Calibri" w:cs="Calibri"/>
                <w:sz w:val="24"/>
                <w:szCs w:val="24"/>
              </w:rPr>
              <w:t xml:space="preserve"> serão utilizados exclusivamente para o pagamento das despesas previstas no objeto do TCC, vedada a sua aplicação em finalidade diversa, ainda que decorrentes de necessidade emergencial do PONT</w:t>
            </w:r>
            <w:r>
              <w:rPr>
                <w:sz w:val="24"/>
                <w:szCs w:val="24"/>
              </w:rPr>
              <w:t xml:space="preserve">O</w:t>
            </w:r>
            <w:r>
              <w:rPr>
                <w:rFonts w:eastAsia="Calibri" w:cs="Calibri"/>
                <w:sz w:val="24"/>
                <w:szCs w:val="24"/>
              </w:rPr>
              <w:t xml:space="preserve"> DE CULTURA.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5.1.3 </w:t>
            </w:r>
            <w:r>
              <w:rPr>
                <w:rFonts w:eastAsia="Calibri" w:cs="Calibri"/>
                <w:sz w:val="24"/>
                <w:szCs w:val="24"/>
              </w:rPr>
              <w:t xml:space="preserve">Os rendi</w:t>
            </w:r>
            <w:r>
              <w:rPr>
                <w:rFonts w:eastAsia="Calibri" w:cs="Calibri"/>
                <w:sz w:val="24"/>
                <w:szCs w:val="24"/>
              </w:rPr>
              <w:t xml:space="preserve">mentos de aplicações financeiras poderão ser aplicados para manter o poder de compra dos recursos da parceria, bem como para ampliação ou criação de metas, durante a vigência do TCC, desde que contribuam para a execução do objeto, ou para incremento deste.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5.1.4 </w:t>
            </w:r>
            <w:r>
              <w:rPr>
                <w:rFonts w:eastAsia="Calibri" w:cs="Calibri"/>
                <w:sz w:val="24"/>
                <w:szCs w:val="24"/>
              </w:rPr>
              <w:t xml:space="preserve">O uso de rendimentos para as finalidades descritas </w:t>
            </w:r>
            <w:r>
              <w:rPr>
                <w:sz w:val="24"/>
                <w:szCs w:val="24"/>
              </w:rPr>
              <w:t xml:space="preserve">no item 5.1.3</w:t>
            </w:r>
            <w:r>
              <w:rPr>
                <w:rFonts w:eastAsia="Calibri" w:cs="Calibri"/>
                <w:sz w:val="24"/>
                <w:szCs w:val="24"/>
              </w:rPr>
              <w:t xml:space="preserve"> poderá ser realizado sem autorização prévia da administração pública, desde que seja descrito no Relatório de Execução do Objeto, com motivação.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5.1.5 </w:t>
            </w:r>
            <w:r>
              <w:rPr>
                <w:rFonts w:eastAsia="Calibri" w:cs="Calibri"/>
                <w:sz w:val="24"/>
                <w:szCs w:val="24"/>
              </w:rPr>
              <w:t xml:space="preserve">O remanejamento de recurso no plano de trabalho poderá ocorrer desde que: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 - seja realizado durante a vigência d</w:t>
            </w:r>
            <w:r>
              <w:rPr>
                <w:sz w:val="24"/>
                <w:szCs w:val="24"/>
              </w:rPr>
              <w:t xml:space="preserve">o TCC</w:t>
            </w:r>
            <w:r>
              <w:rPr>
                <w:rFonts w:eastAsia="Calibri" w:cs="Calibri"/>
                <w:sz w:val="24"/>
                <w:szCs w:val="24"/>
              </w:rPr>
              <w:t xml:space="preserve">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tenha como finalidade o cumprimento do objeto pactuado;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III - não altere o valor global do orçamento aprovado no TCC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5.1.6 </w:t>
            </w:r>
            <w:r>
              <w:rPr>
                <w:rFonts w:eastAsia="Calibri" w:cs="Calibri"/>
                <w:sz w:val="24"/>
                <w:szCs w:val="24"/>
              </w:rPr>
              <w:t xml:space="preserve">Após a conclusão, rescisão ou extinção d</w:t>
            </w:r>
            <w:r>
              <w:rPr>
                <w:sz w:val="24"/>
                <w:szCs w:val="24"/>
              </w:rPr>
              <w:t xml:space="preserve">este TCC</w:t>
            </w:r>
            <w:r>
              <w:rPr>
                <w:rFonts w:eastAsia="Calibri" w:cs="Calibri"/>
                <w:sz w:val="24"/>
                <w:szCs w:val="24"/>
              </w:rPr>
              <w:t xml:space="preserve">, os saldos financeiros remanescentes, inclusive os provenientes das receitas obtidas das aplicações financeiras realizadas, deverão ser devolvidos pelo PONT</w:t>
            </w:r>
            <w:r>
              <w:rPr>
                <w:sz w:val="24"/>
                <w:szCs w:val="24"/>
              </w:rPr>
              <w:t xml:space="preserve">O</w:t>
            </w:r>
            <w:r>
              <w:rPr>
                <w:rFonts w:eastAsia="Calibri" w:cs="Calibri"/>
                <w:sz w:val="24"/>
                <w:szCs w:val="24"/>
              </w:rPr>
              <w:t xml:space="preserve"> DE CULTURA ao Ente Público, no prazo de trinta dias.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6.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DO ACOMPANHAMENTO E AVALIAÇÃO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226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6.1. </w:t>
            </w:r>
            <w:r>
              <w:rPr>
                <w:sz w:val="24"/>
                <w:szCs w:val="24"/>
              </w:rPr>
              <w:t xml:space="preserve">A SECULT/PMSL</w:t>
            </w:r>
            <w:r>
              <w:rPr>
                <w:rFonts w:eastAsia="Calibri" w:cs="Calibri"/>
                <w:sz w:val="24"/>
                <w:szCs w:val="24"/>
              </w:rPr>
              <w:t xml:space="preserve"> realizará o acompanhamento e a avaliação da execução</w:t>
            </w:r>
            <w:r>
              <w:rPr>
                <w:rFonts w:eastAsia="Calibri" w:cs="Calibri"/>
                <w:i/>
                <w:sz w:val="24"/>
                <w:szCs w:val="24"/>
              </w:rPr>
              <w:t xml:space="preserve"> </w:t>
            </w:r>
            <w:r>
              <w:rPr>
                <w:rFonts w:eastAsia="Calibri" w:cs="Calibri"/>
                <w:sz w:val="24"/>
                <w:szCs w:val="24"/>
              </w:rPr>
              <w:t xml:space="preserve">deste TCC, periodicamente, durante a vigência da parceria, com vistas a promover o levantamento de dados para subsidiar a avaliação da prestação de contas podendo, para tanto: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 -  exigir informações técnicas (incluindo relatório fotográfico), prestações de contas parciais e/ou final a qualquer momento;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exigir o registro, nos sistemas institucionais indicados pelo Ministério da Cultura, das atividades provenientes da execução do TCC;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III - usar os diversos canais eletrônicos de comunicação e divulgação absorvendo informações sobre a execução do TCC e adotando providências necessárias, quando for o caso;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IV - fazer vistoria in loco (</w:t>
            </w:r>
            <w:r>
              <w:rPr>
                <w:sz w:val="24"/>
                <w:szCs w:val="24"/>
              </w:rPr>
              <w:t xml:space="preserve">vistoria no local)</w:t>
            </w:r>
            <w:r>
              <w:rPr>
                <w:rFonts w:eastAsia="Calibri" w:cs="Calibri"/>
                <w:sz w:val="24"/>
                <w:szCs w:val="24"/>
              </w:rPr>
              <w:t xml:space="preserve">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V - utilizar apoio técnico de terceiros, delegar competência ou firmar parcerias com órgãos ou entidades.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6.2 </w:t>
            </w:r>
            <w:r>
              <w:rPr>
                <w:color w:val="auto"/>
                <w:sz w:val="24"/>
                <w:szCs w:val="24"/>
              </w:rPr>
              <w:t xml:space="preserve">A SECULT/PMSL</w:t>
            </w:r>
            <w:r>
              <w:rPr>
                <w:rFonts w:eastAsia="Calibri" w:cs="Calibri"/>
                <w:sz w:val="24"/>
                <w:szCs w:val="24"/>
              </w:rPr>
              <w:t xml:space="preserve"> produzirá registros sobre suas atividades </w:t>
            </w:r>
            <w:r>
              <w:rPr>
                <w:rFonts w:eastAsia="Calibri" w:cs="Calibri"/>
                <w:sz w:val="24"/>
                <w:szCs w:val="24"/>
              </w:rPr>
              <w:t xml:space="preserve">de acompanhamento e monitoramento, por meio de certidões, memórias de reunião, relatórios ou outros documentos técnicos, podendo propor à entidade cultural a reorientação das ações ou a realização de ajustes para aprimorar a execução do objeto da parceria.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6.3 Os TCCs</w:t>
            </w:r>
            <w:r>
              <w:rPr>
                <w:rFonts w:eastAsia="Calibri" w:cs="Calibri"/>
                <w:sz w:val="24"/>
                <w:szCs w:val="24"/>
              </w:rPr>
              <w:t xml:space="preserve"> estarão também </w:t>
            </w:r>
            <w:r>
              <w:rPr>
                <w:sz w:val="24"/>
                <w:szCs w:val="24"/>
              </w:rPr>
              <w:t xml:space="preserve">sujeitos</w:t>
            </w:r>
            <w:r>
              <w:rPr>
                <w:rFonts w:eastAsia="Calibri" w:cs="Calibri"/>
                <w:sz w:val="24"/>
                <w:szCs w:val="24"/>
              </w:rPr>
              <w:t xml:space="preserve"> aos mecanismos de controle social previstos na legislação e ao acompanhamento por comissões e conselhos de políticas públicas da área cultural.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7.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DA PRESTAÇÃO DE CONTAS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226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7.1 </w:t>
            </w:r>
            <w:r>
              <w:rPr>
                <w:rFonts w:eastAsia="Calibri" w:cs="Calibri"/>
                <w:sz w:val="24"/>
                <w:szCs w:val="24"/>
              </w:rPr>
              <w:t xml:space="preserve">A prestação de contas será apresentada por meio do </w:t>
            </w:r>
            <w:r>
              <w:rPr>
                <w:rFonts w:eastAsia="Calibri" w:cs="Calibri"/>
                <w:sz w:val="24"/>
                <w:szCs w:val="24"/>
                <w:u w:val="single"/>
              </w:rPr>
              <w:t xml:space="preserve">Relatório de Execução do Objeto</w:t>
            </w:r>
            <w:r>
              <w:rPr>
                <w:rFonts w:eastAsia="Calibri" w:cs="Calibri"/>
                <w:sz w:val="24"/>
                <w:szCs w:val="24"/>
              </w:rPr>
              <w:t xml:space="preserve">, no prazo de 90 (noventa) dias após o fim da vigência do TCC, contendo: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 - relato das atividades </w:t>
            </w:r>
            <w:r>
              <w:rPr>
                <w:rFonts w:eastAsia="Calibri" w:cs="Calibri"/>
                <w:sz w:val="24"/>
                <w:szCs w:val="24"/>
              </w:rPr>
              <w:t xml:space="preserve">realizadas para o cumprimento do objeto, que deve tratar sobre o alcance dos objetivos, sobre ações eventualmente realizadas para promover a acessibilidade e os desdobramentos do projeto, tendo por referência as informações constantes no plano de trabalho;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comparati</w:t>
            </w:r>
            <w:r>
              <w:rPr>
                <w:rFonts w:eastAsia="Calibri" w:cs="Calibri"/>
                <w:sz w:val="24"/>
                <w:szCs w:val="24"/>
              </w:rPr>
              <w:t xml:space="preserve">vo de metas propostas com os resultados alcançados, a partir das informações constantes do plano de trabalho, podendo a comprovação sobre os produtos e serviços relativos às metas se dar pela apresentação de fotos, listas de presença, vídeos, entre outros;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III - material que comprove a execução de cada item de despesa e a consecução de cada uma das metas (fotos, listas de presença, vídeos, entre outros) descrito no Plano de Trabalho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7.2 </w:t>
            </w:r>
            <w:r>
              <w:rPr>
                <w:rFonts w:eastAsia="Calibri" w:cs="Calibri"/>
                <w:sz w:val="24"/>
                <w:szCs w:val="24"/>
              </w:rPr>
              <w:t xml:space="preserve">Os documentos originais de comprovação do cumprimento do objeto deverão ser guardados pelo PONT</w:t>
            </w:r>
            <w:r>
              <w:rPr>
                <w:sz w:val="24"/>
                <w:szCs w:val="24"/>
              </w:rPr>
              <w:t xml:space="preserve">O</w:t>
            </w:r>
            <w:r>
              <w:rPr>
                <w:rFonts w:eastAsia="Calibri" w:cs="Calibri"/>
                <w:sz w:val="24"/>
                <w:szCs w:val="24"/>
              </w:rPr>
              <w:t xml:space="preserve"> DE CULTURA pelo prazo de </w:t>
            </w:r>
            <w:r>
              <w:rPr>
                <w:sz w:val="24"/>
                <w:szCs w:val="24"/>
              </w:rPr>
              <w:t xml:space="preserve">cinco</w:t>
            </w:r>
            <w:r>
              <w:rPr>
                <w:rFonts w:eastAsia="Calibri" w:cs="Calibri"/>
                <w:sz w:val="24"/>
                <w:szCs w:val="24"/>
              </w:rPr>
              <w:t xml:space="preserve"> anos após a entrega da prestação de contas.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7.3 </w:t>
            </w:r>
            <w:r>
              <w:rPr>
                <w:rFonts w:eastAsia="Calibri" w:cs="Calibri"/>
                <w:sz w:val="24"/>
                <w:szCs w:val="24"/>
              </w:rPr>
              <w:t xml:space="preserve">O prazo de apresentação do Relatório de Execução do Objeto poderá ser prorrogado por até trinta dias, mediante solicitação fundamentada do PONT</w:t>
            </w:r>
            <w:r>
              <w:rPr>
                <w:sz w:val="24"/>
                <w:szCs w:val="24"/>
              </w:rPr>
              <w:t xml:space="preserve">O</w:t>
            </w:r>
            <w:r>
              <w:rPr>
                <w:rFonts w:eastAsia="Calibri" w:cs="Calibri"/>
                <w:sz w:val="24"/>
                <w:szCs w:val="24"/>
              </w:rPr>
              <w:t xml:space="preserve"> DE CULTURA.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7.4 </w:t>
            </w:r>
            <w:r>
              <w:rPr>
                <w:rFonts w:eastAsia="Calibri" w:cs="Calibri"/>
                <w:sz w:val="24"/>
                <w:szCs w:val="24"/>
              </w:rPr>
              <w:t xml:space="preserve">Caso o Ente Público verifique que houve inadequação na execução do objeto, o PONT</w:t>
            </w:r>
            <w:r>
              <w:rPr>
                <w:sz w:val="24"/>
                <w:szCs w:val="24"/>
              </w:rPr>
              <w:t xml:space="preserve">O</w:t>
            </w:r>
            <w:r>
              <w:rPr>
                <w:rFonts w:eastAsia="Calibri" w:cs="Calibri"/>
                <w:sz w:val="24"/>
                <w:szCs w:val="24"/>
              </w:rPr>
              <w:t xml:space="preserve"> DE CULTURA será notificado para apresentar Relatório de Execução Financeiro, no prazo de trinta dias, contendo: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I- - relação de pagamentos, com indicação dos beneficiários desses pagamentos e identificação do item de despesa e meta relacionados a cada pagamento;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extrato bancário da conta do TCC, incluindo toda a movimentação desde a abertura até a última movimentação, e conciliação bancária; e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III - comprovante de recolhimento do saldo remanescente de recursos, quando houver.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7.5 </w:t>
            </w:r>
            <w:r>
              <w:rPr>
                <w:rFonts w:eastAsia="Calibri" w:cs="Calibri"/>
                <w:sz w:val="24"/>
                <w:szCs w:val="24"/>
              </w:rPr>
              <w:t xml:space="preserve">O Ente Público considerará que houve inadequação na execução do objeto quando configurada uma das seguintes hipóteses: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 w:cs="Calibri"/>
                <w:sz w:val="24"/>
                <w:szCs w:val="24"/>
              </w:rPr>
              <w:t xml:space="preserve">- quando for identificado o descumprimento injustificado do alcance das metas; ou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quando for aceita denúncia de irregularidade, mediante juízo de admissibilidade realizado pelo Ente Público.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8.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DOS BENS REMANESCENTES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226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8.1 </w:t>
            </w:r>
            <w:r>
              <w:rPr>
                <w:rFonts w:eastAsia="Calibri" w:cs="Calibri"/>
                <w:sz w:val="24"/>
                <w:szCs w:val="24"/>
              </w:rPr>
              <w:t xml:space="preserve">Os bens patrimoniais adquiridos, produzidos, transformados ou construídos com recursos deste TC</w:t>
            </w:r>
            <w:r>
              <w:rPr>
                <w:rFonts w:eastAsia="Calibri" w:cs="Calibri"/>
                <w:sz w:val="24"/>
                <w:szCs w:val="24"/>
              </w:rPr>
              <w:t xml:space="preserve">C são da titularidade da Entidade Cultural celebrante e ficarão afetados ao objeto do presente TCC durante o prazo de sua duração, sendo considerados bens remanescentes ao seu término, dispensada a celebração de instrumento específico para esta finalidade.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8.2 </w:t>
            </w:r>
            <w:r>
              <w:rPr>
                <w:rFonts w:eastAsia="Calibri" w:cs="Calibri"/>
                <w:sz w:val="24"/>
                <w:szCs w:val="24"/>
              </w:rPr>
              <w:t xml:space="preserve">Quando da extinção da parceria, os bens remanescentes permanecerão na propriedade da Entidade Cultural, na medida em que os bens sejam úteis à continuidade da execução de ações de interesse social pela organização.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8.3 </w:t>
            </w:r>
            <w:r>
              <w:rPr>
                <w:rFonts w:eastAsia="Calibri" w:cs="Calibri"/>
                <w:sz w:val="24"/>
                <w:szCs w:val="24"/>
              </w:rPr>
              <w:t xml:space="preserve">Caso a prestação de contas final seja rejeitada, a titularidade dos bens remanescentes permanecerá com a Entidade Cultural, observados os seguintes procedimentos: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 -  não será exigido ressarcimento do valor relativo ao bem adquirido quando a motivação da rejeição não estiver relacionada ao seu uso ou aquisição; ou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II - o valor pelo qual o bem remanescente foi adquirido deverá ser computado no cálculo do dano ao erário a ser ressarcido, quando a motivação da rejeição estiver relacionada ao seu uso ou aquisição.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 </w:t>
            </w:r>
            <w:r>
              <w:rPr>
                <w:rFonts w:eastAsia="Calibri" w:cs="Calibri"/>
                <w:sz w:val="24"/>
                <w:szCs w:val="24"/>
              </w:rPr>
              <w:t xml:space="preserve">Na hipótese de dissolução da Entidade Cultural durante a vigência </w:t>
            </w:r>
            <w:r>
              <w:rPr>
                <w:sz w:val="24"/>
                <w:szCs w:val="24"/>
              </w:rPr>
              <w:t xml:space="preserve">do TCC</w:t>
            </w:r>
            <w:r>
              <w:rPr>
                <w:rFonts w:eastAsia="Calibri" w:cs="Calibri"/>
                <w:sz w:val="24"/>
                <w:szCs w:val="24"/>
              </w:rPr>
              <w:t xml:space="preserve">, o valor pelo qual os bens remanescentes foram adquiridos deverá ser computado no cálculo do valor a ser ressarcido.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8.5 </w:t>
            </w:r>
            <w:r>
              <w:rPr>
                <w:rFonts w:eastAsia="Calibri" w:cs="Calibri"/>
                <w:sz w:val="24"/>
                <w:szCs w:val="24"/>
              </w:rPr>
              <w:t xml:space="preserve">A Entidade Cultural poderá realizar doação dos bens remanescentes a terceiros, inclusive beneficiários da política pública objeto da parceria, desde que demonstrada sua utilidade para realização ou continuidade de ações de interesse social.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8.6</w:t>
            </w:r>
            <w:r>
              <w:rPr>
                <w:rFonts w:eastAsia="Calibri" w:cs="Calibri"/>
                <w:sz w:val="24"/>
                <w:szCs w:val="24"/>
              </w:rPr>
              <w:t xml:space="preserve"> Os bens remanescentes poderão ter sua propriedade revertida para o Ente Público, a critério deste, se ao término da parceria ficar constatado que a Entidade Cultural não terá condições de dar continuidade</w:t>
            </w:r>
            <w:r>
              <w:rPr>
                <w:rFonts w:eastAsia="Calibri" w:cs="Calibri"/>
                <w:sz w:val="24"/>
                <w:szCs w:val="24"/>
              </w:rPr>
              <w:t xml:space="preserve"> à execução de ações de interesse social e a transferência da propriedade for necessária para assegurar a continuidade do objeto pactuado, seja por meio da celebração de nova parceria, seja pela execução direta do objeto pela Administração Pública Federal.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8.7 </w:t>
            </w:r>
            <w:r>
              <w:rPr>
                <w:rFonts w:eastAsia="Calibri" w:cs="Calibri"/>
                <w:sz w:val="24"/>
                <w:szCs w:val="24"/>
              </w:rPr>
              <w:t xml:space="preserve">A destinação dos bens remanescentes poderá ser alterada por meio da celebração de Termo Aditivo</w:t>
            </w:r>
            <w:r>
              <w:rPr>
                <w:sz w:val="24"/>
                <w:szCs w:val="24"/>
              </w:rPr>
              <w:t xml:space="preserve"> ao TCC</w:t>
            </w:r>
            <w:r>
              <w:rPr>
                <w:rFonts w:eastAsia="Calibri" w:cs="Calibri"/>
                <w:sz w:val="24"/>
                <w:szCs w:val="24"/>
              </w:rPr>
              <w:t xml:space="preserve">, após solicitação fundamentada de uma das partes.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8.8 </w:t>
            </w:r>
            <w:r>
              <w:rPr>
                <w:rFonts w:eastAsia="Calibri" w:cs="Calibri"/>
                <w:sz w:val="24"/>
                <w:szCs w:val="24"/>
              </w:rPr>
              <w:t xml:space="preserve">No caso de término da execução do TCC antes da manifestação sobre eventual solicitação de uma das partes de alteração da destinação dos bens remanescentes, a custódia dos bens permanecerá sob a responsabilidade da Entidade Cultural até a decisão do pedido.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9.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vertAlign w:val="baseline"/>
              </w:rPr>
              <w:t xml:space="preserve">DA PROPRIEDADE INTELECTUAL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vertAlign w:val="baseline"/>
              </w:rPr>
            </w:r>
          </w:p>
        </w:tc>
      </w:tr>
      <w:tr>
        <w:trPr>
          <w:trHeight w:val="226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9.1 </w:t>
            </w:r>
            <w:r>
              <w:rPr>
                <w:rFonts w:eastAsia="Calibri" w:cs="Calibri"/>
                <w:sz w:val="24"/>
                <w:szCs w:val="24"/>
              </w:rPr>
              <w:t xml:space="preserve">Caso as atividades realizadas pela ENTIDADE CULTURAL com recursos públicos provenientes do Termo de C</w:t>
            </w:r>
            <w:r>
              <w:rPr>
                <w:sz w:val="24"/>
                <w:szCs w:val="24"/>
              </w:rPr>
              <w:t xml:space="preserve">ompromisso Cultural</w:t>
            </w:r>
            <w:r>
              <w:rPr>
                <w:rFonts w:eastAsia="Calibri" w:cs="Calibri"/>
                <w:sz w:val="24"/>
                <w:szCs w:val="24"/>
              </w:rPr>
              <w:t xml:space="preserve"> deem origem a bens passíveis de proteção pelo direito de propriedade intelectual, a exemplo de invenções, modelos de utilidade, desenhos industriais, obras intelectuais, cultivares, direitos autorais, programas de computador e ou</w:t>
            </w:r>
            <w:r>
              <w:rPr>
                <w:rFonts w:eastAsia="Calibri" w:cs="Calibri"/>
                <w:sz w:val="24"/>
                <w:szCs w:val="24"/>
              </w:rPr>
              <w:t xml:space="preserve">tros tipos de criação, a ENTIDADE CULTURAL terá a titularidade da propriedade intelectual e a participação nos ganhos econômicos resultantes da exploração dos respectivos bens, os quais ficarão gravados com cláusula de inalienabilidade durante a vigência d</w:t>
            </w:r>
            <w:r>
              <w:rPr>
                <w:sz w:val="24"/>
                <w:szCs w:val="24"/>
              </w:rPr>
              <w:t xml:space="preserve">o Termo de Compromisso Cultural.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9.2 - A ORGANIZAÇÃO DA SOCIEDADE CIVIL declara, mediante a assinatura deste instrume</w:t>
            </w:r>
            <w:r>
              <w:rPr>
                <w:sz w:val="24"/>
                <w:szCs w:val="24"/>
              </w:rPr>
              <w:t xml:space="preserve">nto, que se responsabiliza integralmente por providenciar desde já, independente de solicitação da ADMINISTRAÇÃO PÚBLICA, todas as autorizações necessárias para que a ADMINISTRAÇÃO PÚBLICA, sem ônus, durante o prazo de proteção dos direitos incidentes, em </w:t>
            </w:r>
            <w:r>
              <w:rPr>
                <w:sz w:val="24"/>
                <w:szCs w:val="24"/>
              </w:rPr>
              <w:t xml:space="preserve">território nacional e estrangeiro, em caráter não exclusivo, utilize para fins de divulgação da Política Nacional de Cultura Viva, os bens submetidos a regime de propriedade intelectual que eventualmente decorrerem da execução deste TCC, da seguinte forma: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9.2.1 - Quanto aos direitos de que trata a Lei Nacional nº 9.279/1996, pelo uso de produto objeto de patente, processo ou produto obtido diretamente por processo patenteado, desenho industrial, indicação geográfica e marcas;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9.2.2 - Quanto aos direitos de que trata a Lei Nacional nº 9.610/1998, pelas seguintes modalidades: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- a reprodução parcial ou integral, para fins de divulgação;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II - a tradução para qualquer idioma;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III - a inclusão em fonograma ou produção audiovisual;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- a inclusão em base de dados, o armazenamento em computador, a microfilmagem e as demais formas de arquivamento do gênero.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</w:t>
            </w:r>
            <w:r>
              <w:rPr>
                <w:rFonts w:eastAsia="Calibri" w:cs="Calibri"/>
                <w:sz w:val="24"/>
                <w:szCs w:val="24"/>
              </w:rPr>
              <w:t xml:space="preserve"> Quando da extinção d</w:t>
            </w:r>
            <w:r>
              <w:rPr>
                <w:sz w:val="24"/>
                <w:szCs w:val="24"/>
              </w:rPr>
              <w:t xml:space="preserve">o TCC</w:t>
            </w:r>
            <w:r>
              <w:rPr>
                <w:rFonts w:eastAsia="Calibri" w:cs="Calibri"/>
                <w:sz w:val="24"/>
                <w:szCs w:val="24"/>
              </w:rPr>
              <w:t xml:space="preserve">, os </w:t>
            </w:r>
            <w:r>
              <w:rPr>
                <w:rFonts w:eastAsia="Calibri" w:cs="Calibri"/>
                <w:sz w:val="24"/>
                <w:szCs w:val="24"/>
              </w:rPr>
              <w:t xml:space="preserve">bens remanescentes passíveis de proteção pelo direito de propriedade intelectual poderão ter sua propriedade revertida para o órgão ou entidade pública federal, a critério da Administração Pública, quando a ENTIDADE CULTURAL não tiver condições de dar cont</w:t>
            </w:r>
            <w:r>
              <w:rPr>
                <w:rFonts w:eastAsia="Calibri" w:cs="Calibri"/>
                <w:sz w:val="24"/>
                <w:szCs w:val="24"/>
              </w:rPr>
              <w:t xml:space="preserve">inuidade à execução de ações de interesse social e a transferência da propriedade for necessária para assegurar a continuidade do objeto pactuado, seja por meio da celebração de nova parceria, seja pela execução direta do objeto pela Administração Pública.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10.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DO PRAZO DE VIGÊNCIA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984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10.1 </w:t>
            </w:r>
            <w:r>
              <w:rPr>
                <w:rFonts w:eastAsia="Calibri" w:cs="Calibri"/>
                <w:sz w:val="24"/>
                <w:szCs w:val="24"/>
              </w:rPr>
              <w:t xml:space="preserve">O prazo de vigência deste TCC será </w:t>
            </w:r>
            <w:r>
              <w:rPr>
                <w:sz w:val="24"/>
                <w:szCs w:val="24"/>
              </w:rPr>
              <w:t xml:space="preserve">de </w:t>
            </w:r>
            <w:r>
              <w:rPr>
                <w:sz w:val="24"/>
                <w:szCs w:val="24"/>
              </w:rPr>
              <w:t xml:space="preserve">12 meses</w:t>
            </w:r>
            <w:r>
              <w:rPr>
                <w:rFonts w:eastAsia="Calibri" w:cs="Calibri"/>
                <w:sz w:val="24"/>
                <w:szCs w:val="24"/>
              </w:rPr>
              <w:t xml:space="preserve">, contados a partir da data d</w:t>
            </w:r>
            <w:r>
              <w:rPr>
                <w:rFonts w:eastAsia="Calibri" w:cs="Calibri"/>
                <w:sz w:val="24"/>
                <w:szCs w:val="24"/>
              </w:rPr>
              <w:t xml:space="preserve">o depósito do valor em conta</w:t>
            </w:r>
            <w:r>
              <w:rPr>
                <w:rFonts w:eastAsia="Calibri" w:cs="Calibri"/>
                <w:sz w:val="24"/>
                <w:szCs w:val="24"/>
              </w:rPr>
              <w:t xml:space="preserve">, podendo ser prorrogado </w:t>
            </w:r>
            <w:r>
              <w:rPr>
                <w:rFonts w:eastAsia="Calibri" w:cs="Calibri"/>
                <w:color w:val="auto"/>
                <w:sz w:val="24"/>
                <w:szCs w:val="24"/>
              </w:rPr>
              <w:t xml:space="preserve">pelo dobro do tempo pactuado</w:t>
            </w:r>
            <w:r>
              <w:rPr>
                <w:rFonts w:eastAsia="Calibri" w:cs="Calibri"/>
                <w:sz w:val="24"/>
                <w:szCs w:val="24"/>
              </w:rPr>
              <w:t xml:space="preserve">, mediante acordo entre as partes, excetuadas as prorrogações de ofício por atraso na liberação dos recursos.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10.2 </w:t>
            </w:r>
            <w:r>
              <w:rPr>
                <w:rFonts w:eastAsia="Calibri" w:cs="Calibri"/>
                <w:sz w:val="24"/>
                <w:szCs w:val="24"/>
              </w:rPr>
              <w:t xml:space="preserve">A vigência d</w:t>
            </w:r>
            <w:r>
              <w:rPr>
                <w:sz w:val="24"/>
                <w:szCs w:val="24"/>
              </w:rPr>
              <w:t xml:space="preserve">o TCC</w:t>
            </w:r>
            <w:r>
              <w:rPr>
                <w:rFonts w:eastAsia="Calibri" w:cs="Calibri"/>
                <w:sz w:val="24"/>
                <w:szCs w:val="24"/>
              </w:rPr>
              <w:t xml:space="preserve"> poderá ser alterada mediante solicitação da entidade cultural, a ser apresentada à administração pública em, no mínimo, trinta dias antes do término de sua vigência.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10.3 </w:t>
            </w:r>
            <w:r>
              <w:rPr>
                <w:rFonts w:eastAsia="Calibri" w:cs="Calibri"/>
                <w:sz w:val="24"/>
                <w:szCs w:val="24"/>
              </w:rPr>
              <w:t xml:space="preserve">A prorrogação de ofício da vigência do instrumento deve ser feita pela administração pública, antes do seu término, quando ela der causa a atraso na liberação dos recursos, limitada ao exato período do atraso verificado.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11.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DA RESCISÃO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226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11.1 </w:t>
            </w:r>
            <w:r>
              <w:rPr>
                <w:rFonts w:eastAsia="Calibri" w:cs="Calibri"/>
                <w:sz w:val="24"/>
                <w:szCs w:val="24"/>
              </w:rPr>
              <w:t xml:space="preserve">É facultado ao Ente Público e </w:t>
            </w:r>
            <w:r>
              <w:rPr>
                <w:sz w:val="24"/>
                <w:szCs w:val="24"/>
              </w:rPr>
              <w:t xml:space="preserve">à entidade cultural</w:t>
            </w:r>
            <w:r>
              <w:rPr>
                <w:rFonts w:eastAsia="Calibri" w:cs="Calibri"/>
                <w:sz w:val="24"/>
                <w:szCs w:val="24"/>
              </w:rPr>
              <w:t xml:space="preserve"> re</w:t>
            </w:r>
            <w:r>
              <w:rPr>
                <w:rFonts w:eastAsia="Calibri" w:cs="Calibri"/>
                <w:sz w:val="24"/>
                <w:szCs w:val="24"/>
              </w:rPr>
              <w:t xml:space="preserve">scindirem este TCC, a qualquer tempo, com as respectivas condições, sanções e delimitações claras de responsabilidades, além da estipulação de prazo mínimo de antecedência para a publicidade dessa intenção, que não poderá ser inferior a 60 (sessenta) dias.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11.2</w:t>
            </w:r>
            <w:r>
              <w:rPr>
                <w:rFonts w:eastAsia="Calibri" w:cs="Calibri"/>
                <w:sz w:val="24"/>
                <w:szCs w:val="24"/>
              </w:rPr>
              <w:t xml:space="preserve"> O Ente Público deverá rescindir este TCC caso seja cancelada a certificação simplificada do </w:t>
            </w:r>
            <w:r>
              <w:rPr>
                <w:rFonts w:eastAsia="Calibri" w:cs="Calibri"/>
                <w:sz w:val="24"/>
                <w:szCs w:val="24"/>
              </w:rPr>
              <w:t xml:space="preserve">Ponto</w:t>
            </w:r>
            <w:r>
              <w:rPr>
                <w:rFonts w:eastAsia="Calibri" w:cs="Calibri"/>
                <w:sz w:val="24"/>
                <w:szCs w:val="24"/>
              </w:rPr>
              <w:t xml:space="preserve">, respeitados os atos jurídicos perfeitos, na forma do art. 11 da Instrução Normativa/MinC nº 8/2016.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11.3 </w:t>
            </w:r>
            <w:r>
              <w:rPr>
                <w:rFonts w:eastAsia="Calibri" w:cs="Calibri"/>
                <w:sz w:val="24"/>
                <w:szCs w:val="24"/>
              </w:rPr>
              <w:t xml:space="preserve">A Entidade Cultural deverá devolver ao Ente Público os saldos f</w:t>
            </w:r>
            <w:r>
              <w:rPr>
                <w:rFonts w:eastAsia="Calibri" w:cs="Calibri"/>
                <w:sz w:val="24"/>
                <w:szCs w:val="24"/>
              </w:rPr>
              <w:t xml:space="preserve">inanceiros remanescentes, inclusive os provenientes das receitas obtidas das aplicações financeiras realizadas, no prazo de trinta dias após a conclusão, rescisão ou extinção da parceria, sob pena de adoção de medidas cabíveis para ressarcimento ao erário.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11.4</w:t>
            </w:r>
            <w:r>
              <w:rPr>
                <w:rFonts w:eastAsia="Calibri" w:cs="Calibri"/>
                <w:sz w:val="24"/>
                <w:szCs w:val="24"/>
              </w:rPr>
              <w:t xml:space="preserve"> Havendo rescisão, </w:t>
            </w:r>
            <w:r>
              <w:rPr>
                <w:sz w:val="24"/>
                <w:szCs w:val="24"/>
              </w:rPr>
              <w:t xml:space="preserve">a entidade cultural</w:t>
            </w:r>
            <w:r>
              <w:rPr>
                <w:rFonts w:eastAsia="Calibri" w:cs="Calibri"/>
                <w:sz w:val="24"/>
                <w:szCs w:val="24"/>
              </w:rPr>
              <w:t xml:space="preserve"> fica </w:t>
            </w:r>
            <w:r>
              <w:rPr>
                <w:sz w:val="24"/>
                <w:szCs w:val="24"/>
              </w:rPr>
              <w:t xml:space="preserve">obrigada</w:t>
            </w:r>
            <w:r>
              <w:rPr>
                <w:rFonts w:eastAsia="Calibri" w:cs="Calibri"/>
                <w:sz w:val="24"/>
                <w:szCs w:val="24"/>
              </w:rPr>
              <w:t xml:space="preserve"> a prestar contas de tudo que fora executado até a data da rescisão, observado o prazo e regras da Seção 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rFonts w:eastAsia="Calibri" w:cs="Calibri"/>
                <w:sz w:val="24"/>
                <w:szCs w:val="24"/>
              </w:rPr>
              <w:t xml:space="preserve">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12.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DA PUBLICAÇÃO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85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O Ente Público publicará extrato deste TCC no meio oficial de publicidade da administração pública, após a assinatura, para que se inicie a produção de seus efeitos.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9972"/>
      </w:tblGrid>
      <w:tr>
        <w:trPr>
          <w:trHeight w:val="525"/>
        </w:trPr>
        <w:tc>
          <w:tcPr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13.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DO FORO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85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 partes</w:t>
            </w:r>
            <w:r>
              <w:rPr>
                <w:rFonts w:eastAsia="Calibri" w:cs="Calibri"/>
                <w:sz w:val="24"/>
                <w:szCs w:val="24"/>
              </w:rPr>
              <w:t xml:space="preserve"> comprometem-se a submeter eventuais controvérsias decorrentes do presente ajuste à prévia tentativa de solução administrativa. As controvérsias que não possam ser resolvidas administrativamente serão submetidas ao foro da Justiça </w:t>
            </w:r>
            <w:r>
              <w:rPr>
                <w:rFonts w:eastAsia="Calibri" w:cs="Calibri"/>
                <w:sz w:val="24"/>
                <w:szCs w:val="24"/>
              </w:rPr>
              <w:t xml:space="preserve">de São Leopoldo-RS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/>
        <w:ind w:hanging="2" w:left="0"/>
        <w:rPr/>
      </w:pPr>
      <w:r/>
      <w:r/>
    </w:p>
    <w:tbl>
      <w:tblPr>
        <w:tblInd w:w="0" w:type="dxa"/>
        <w:tblW w:w="9972" w:type="dxa"/>
        <w:tblCellMar>
          <w:left w:w="100" w:type="dxa"/>
          <w:top w:w="0" w:type="dxa"/>
          <w:right w:w="100" w:type="dxa"/>
          <w:bottom w:w="0" w:type="dxa"/>
        </w:tblCellMar>
        <w:tblBorders/>
        <w:tblLayout w:type="fixed"/>
        <w:tblLook w:val="0600" w:firstRow="0" w:lastRow="0" w:firstColumn="0" w:lastColumn="0" w:noHBand="1" w:noVBand="1"/>
      </w:tblPr>
      <w:tblGrid>
        <w:gridCol w:w="4812"/>
        <w:gridCol w:w="5159"/>
      </w:tblGrid>
      <w:tr>
        <w:trPr>
          <w:trHeight w:val="525"/>
        </w:trPr>
        <w:tc>
          <w:tcPr>
            <w:gridSpan w:val="2"/>
            <w:shd w:val="clear" w:color="auto" w:fill="d9d9d9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9971" w:type="dxa"/>
            <w:textDirection w:val="lrTb"/>
            <w:noWrap w:val="false"/>
          </w:tcPr>
          <w:p>
            <w:pPr>
              <w:pStyle w:val="1150"/>
              <w:keepNext w:val="false"/>
              <w:keepLines w:val="false"/>
              <w:widowControl w:val="true"/>
              <w:pBdr/>
              <w:shd w:val="clear" w:color="auto" w:fill="auto"/>
              <w:spacing w:after="120" w:before="120" w:line="240" w:lineRule="auto"/>
              <w:ind w:right="0" w:firstLine="0" w:left="0"/>
              <w:jc w:val="both"/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pPr>
            <w:r>
              <w:rPr>
                <w:b/>
                <w:sz w:val="24"/>
                <w:szCs w:val="24"/>
              </w:rPr>
              <w:t xml:space="preserve">14. </w:t>
            </w:r>
            <w:r>
              <w:rPr>
                <w:rFonts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  <w:t xml:space="preserve">DATA E ASSINATURAS</w:t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  <w:r>
              <w:rPr>
                <w:rFonts w:ascii="Calibri" w:hAnsi="Calibri" w:eastAsia="Calibri" w:cs="Calibri"/>
                <w:b/>
                <w:i w:val="0"/>
                <w:caps w:val="0"/>
                <w:smallCaps w:val="0"/>
                <w:strike w:val="0"/>
                <w:color w:val="000000"/>
                <w:position w:val="0"/>
                <w:sz w:val="24"/>
                <w:szCs w:val="24"/>
                <w:u w:val="none"/>
                <w:shd w:val="clear" w:color="auto" w:fill="auto"/>
                <w:vertAlign w:val="baseline"/>
              </w:rPr>
            </w:r>
          </w:p>
        </w:tc>
      </w:tr>
      <w:tr>
        <w:trPr>
          <w:trHeight w:val="851"/>
        </w:trPr>
        <w:tc>
          <w:tcPr>
            <w:gridSpan w:val="2"/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71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E, por assim estarem plenamente de acordo, </w:t>
            </w:r>
            <w:r>
              <w:rPr>
                <w:sz w:val="24"/>
                <w:szCs w:val="24"/>
              </w:rPr>
              <w:t xml:space="preserve">as partes</w:t>
            </w:r>
            <w:r>
              <w:rPr>
                <w:rFonts w:eastAsia="Calibri" w:cs="Calibri"/>
                <w:sz w:val="24"/>
                <w:szCs w:val="24"/>
              </w:rPr>
              <w:t xml:space="preserve"> obrigam-se ao total cumprimento dos termos do presente instrumento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  <w:tr>
        <w:trPr>
          <w:trHeight w:val="851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12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(</w:t>
            </w:r>
            <w:r>
              <w:rPr>
                <w:rFonts w:eastAsia="Calibri" w:cs="Calibri"/>
                <w:i/>
                <w:sz w:val="24"/>
                <w:szCs w:val="24"/>
              </w:rPr>
              <w:t xml:space="preserve">assinado eletronicamente</w:t>
            </w:r>
            <w:r>
              <w:rPr>
                <w:rFonts w:eastAsia="Calibri" w:cs="Calibri"/>
                <w:sz w:val="24"/>
                <w:szCs w:val="24"/>
              </w:rPr>
              <w:t xml:space="preserve">)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center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NOME</w:t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  <w:r>
              <w:rPr>
                <w:rFonts w:ascii="Calibri" w:hAnsi="Calibri" w:eastAsia="Calibri" w:cs="Calibri"/>
                <w:b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CARGO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Representante legal da entidade cultural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5159" w:type="dxa"/>
            <w:textDirection w:val="lrTb"/>
            <w:noWrap w:val="false"/>
          </w:tcPr>
          <w:p>
            <w:pPr>
              <w:pStyle w:val="1150"/>
              <w:pBdr/>
              <w:spacing w:after="120" w:before="120" w:line="240" w:lineRule="auto"/>
              <w:ind w:firstLine="0" w:left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  </w:t>
            </w:r>
            <w:r>
              <w:rPr>
                <w:rFonts w:eastAsia="Calibri" w:cs="Calibri"/>
                <w:sz w:val="24"/>
                <w:szCs w:val="24"/>
              </w:rPr>
              <w:t xml:space="preserve">(</w:t>
            </w:r>
            <w:r>
              <w:rPr>
                <w:rFonts w:eastAsia="Calibri" w:cs="Calibri"/>
                <w:i/>
                <w:sz w:val="24"/>
                <w:szCs w:val="24"/>
              </w:rPr>
              <w:t xml:space="preserve">assinado eletronicamente</w:t>
            </w:r>
            <w:r>
              <w:rPr>
                <w:rFonts w:eastAsia="Calibri" w:cs="Calibri"/>
                <w:sz w:val="24"/>
                <w:szCs w:val="24"/>
              </w:rPr>
              <w:t xml:space="preserve">)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  <w:p>
            <w:pPr>
              <w:pStyle w:val="1150"/>
              <w:pBdr/>
              <w:spacing w:after="120" w:before="120" w:line="240" w:lineRule="auto"/>
              <w:ind w:firstLine="0" w:left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 xml:space="preserve">Representante legal do órgão ou entidade pública</w:t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  <w:r>
              <w:rPr>
                <w:rFonts w:ascii="Calibri" w:hAnsi="Calibri" w:eastAsia="Calibri" w:cs="Calibri"/>
                <w:sz w:val="24"/>
                <w:szCs w:val="24"/>
              </w:rPr>
            </w:r>
          </w:p>
        </w:tc>
      </w:tr>
    </w:tbl>
    <w:p>
      <w:pPr>
        <w:pStyle w:val="1150"/>
        <w:pBdr/>
        <w:spacing w:after="120" w:before="120" w:line="240" w:lineRule="auto"/>
        <w:ind w:firstLine="0" w:left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h="15840" w:orient="portrait" w:w="12240"/>
      <w:pgMar w:top="1984" w:right="1133" w:bottom="1133" w:left="1133" w:header="566" w:footer="566" w:gutter="0"/>
      <w:pgNumType w:start="1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</w:font>
  <w:font w:name="Times New Roman">
    <w:panose1 w:val="02020603050405020304"/>
  </w:font>
  <w:font w:name="Microsoft YaHei">
    <w:panose1 w:val="020B0503020204020204"/>
  </w:font>
  <w:font w:name="Lucida Sans">
    <w:panose1 w:val="020B0602030504020204"/>
  </w:font>
  <w:font w:name="Liberation Sans">
    <w:panose1 w:val="020B0604020202020204"/>
  </w:font>
  <w:font w:name="Segoe UI">
    <w:panose1 w:val="020B0502040204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0"/>
      <w:keepNext w:val="false"/>
      <w:keepLines w:val="false"/>
      <w:widowControl w:val="true"/>
      <w:pBdr/>
      <w:shd w:val="clear" w:color="auto" w:fill="auto"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 w:right="0" w:hanging="2" w:left="0"/>
      <w:jc w:val="right"/>
      <w:rPr>
        <w:rFonts w:ascii="Calibri" w:hAnsi="Calibri"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</w:pPr>
    <w:r>
      <w:rPr>
        <w:rFonts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  <w:t xml:space="preserve">Página </w:t>
    </w:r>
    <w:r>
      <w:fldChar w:fldCharType="begin"/>
    </w:r>
    <w:r>
      <w:instrText xml:space="preserve"> PAGE </w:instrText>
    </w:r>
    <w:r>
      <w:fldChar w:fldCharType="separate"/>
    </w:r>
    <w:r>
      <w:t xml:space="preserve">12</w:t>
    </w:r>
    <w:r>
      <w:fldChar w:fldCharType="end"/>
    </w:r>
    <w:r>
      <w:rPr>
        <w:rFonts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  <w:t xml:space="preserve"> de </w:t>
    </w:r>
    <w:r>
      <w:fldChar w:fldCharType="begin"/>
    </w:r>
    <w:r>
      <w:instrText xml:space="preserve"> NUMPAGES </w:instrText>
    </w:r>
    <w:r>
      <w:fldChar w:fldCharType="separate"/>
    </w:r>
    <w:r>
      <w:t xml:space="preserve">12</w:t>
    </w:r>
    <w:r>
      <w:fldChar w:fldCharType="end"/>
    </w:r>
    <w:r>
      <w:rPr>
        <w:rFonts w:ascii="Calibri" w:hAnsi="Calibri"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</w:r>
    <w:r>
      <w:rPr>
        <w:rFonts w:ascii="Calibri" w:hAnsi="Calibri"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</w:r>
  </w:p>
  <w:p>
    <w:pPr>
      <w:pStyle w:val="1150"/>
      <w:pBdr/>
      <w:tabs>
        <w:tab w:val="center" w:leader="none" w:pos="0"/>
        <w:tab w:val="clear" w:leader="none" w:pos="720"/>
      </w:tabs>
      <w:spacing w:after="0" w:before="0" w:line="240" w:lineRule="auto"/>
      <w:ind w:firstLine="0" w:left="1440"/>
      <w:jc w:val="both"/>
      <w:rPr>
        <w:i/>
        <w:color w:val="ff0000"/>
        <w:sz w:val="20"/>
        <w:szCs w:val="20"/>
      </w:rPr>
    </w:pPr>
    <w:r>
      <w:rPr>
        <w:i/>
        <w:color w:val="ff0000"/>
        <w:sz w:val="20"/>
        <w:szCs w:val="20"/>
      </w:rPr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14336" behindDoc="0" locked="0" layoutInCell="1" allowOverlap="1">
              <wp:simplePos x="0" y="0"/>
              <wp:positionH relativeFrom="column">
                <wp:posOffset>-715180</wp:posOffset>
              </wp:positionH>
              <wp:positionV relativeFrom="paragraph">
                <wp:posOffset>84309</wp:posOffset>
              </wp:positionV>
              <wp:extent cx="7763850" cy="756825"/>
              <wp:effectExtent l="0" t="0" r="0" b="0"/>
              <wp:wrapSquare wrapText="bothSides"/>
              <wp:docPr id="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96569962" name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763850" cy="7568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3" o:spid="_x0000_s3" type="#_x0000_t75" style="position:absolute;z-index:14336;o:allowoverlap:true;o:allowincell:true;mso-position-horizontal-relative:text;margin-left:-56.31pt;mso-position-horizontal:absolute;mso-position-vertical-relative:text;margin-top:6.64pt;mso-position-vertical:absolute;width:611.33pt;height:59.59pt;mso-wrap-distance-left:9.07pt;mso-wrap-distance-top:0.00pt;mso-wrap-distance-right:9.07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i/>
        <w:color w:val="ff0000"/>
        <w:sz w:val="20"/>
        <w:szCs w:val="20"/>
      </w:rPr>
    </w:r>
    <w:r>
      <w:rPr>
        <w:i/>
        <w:color w:val="ff0000"/>
        <w:sz w:val="20"/>
        <w:szCs w:val="20"/>
      </w:rPr>
    </w:r>
    <w:r>
      <w:rPr>
        <w:i/>
        <w:color w:val="ff0000"/>
        <w:sz w:val="20"/>
        <w:szCs w:val="20"/>
      </w:rPr>
    </w:r>
  </w:p>
  <w:p>
    <w:pPr>
      <w:pStyle w:val="1150"/>
      <w:pBdr/>
      <w:spacing w:after="0" w:before="0" w:line="276" w:lineRule="auto"/>
      <w:ind w:firstLine="0"/>
      <w:rPr>
        <w:rFonts w:ascii="Arial" w:hAnsi="Arial" w:eastAsia="Arial" w:cs="Arial"/>
      </w:rPr>
    </w:pPr>
    <w:r>
      <w:rPr>
        <w:rFonts w:ascii="Arial" w:hAnsi="Arial" w:eastAsia="Arial" w:cs="Arial"/>
      </w:rPr>
      <w:t xml:space="preserve">                                                                                                                                                             </w:t>
    </w:r>
    <w:r>
      <w:rPr>
        <w:rFonts w:ascii="Arial" w:hAnsi="Arial" w:eastAsia="Arial" w:cs="Arial"/>
      </w:rPr>
    </w:r>
    <w:r>
      <w:rPr>
        <w:rFonts w:ascii="Arial" w:hAnsi="Arial" w:eastAsia="Arial" w:cs="Arial"/>
      </w:rPr>
    </w:r>
  </w:p>
  <w:p>
    <w:pPr>
      <w:pStyle w:val="1150"/>
      <w:keepNext w:val="false"/>
      <w:keepLines w:val="false"/>
      <w:widowControl w:val="true"/>
      <w:pBdr/>
      <w:shd w:val="clear" w:color="auto" w:fill="auto"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 w:right="0" w:hanging="2" w:left="0"/>
      <w:jc w:val="left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0"/>
      <w:pBdr/>
      <w:spacing w:after="160" w:before="0"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0"/>
      <w:keepNext w:val="false"/>
      <w:keepLines w:val="false"/>
      <w:widowControl w:val="true"/>
      <w:pBdr/>
      <w:shd w:val="clear" w:color="auto" w:fill="auto"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 w:right="0" w:hanging="2" w:left="0"/>
      <w:jc w:val="right"/>
      <w:rPr>
        <w:rFonts w:ascii="Calibri" w:hAnsi="Calibri"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</w:pPr>
    <w:r>
      <w:rPr>
        <w:rFonts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  <w:t xml:space="preserve">Página </w:t>
    </w:r>
    <w:r>
      <w:fldChar w:fldCharType="begin"/>
    </w:r>
    <w:r>
      <w:instrText xml:space="preserve"> PAGE </w:instrText>
    </w:r>
    <w:r>
      <w:fldChar w:fldCharType="separate"/>
    </w:r>
    <w:r>
      <w:t xml:space="preserve">12</w:t>
    </w:r>
    <w:r>
      <w:fldChar w:fldCharType="end"/>
    </w:r>
    <w:r>
      <w:rPr>
        <w:rFonts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  <w:t xml:space="preserve"> de </w:t>
    </w:r>
    <w:r>
      <w:fldChar w:fldCharType="begin"/>
    </w:r>
    <w:r>
      <w:instrText xml:space="preserve"> NUMPAGES </w:instrText>
    </w:r>
    <w:r>
      <w:fldChar w:fldCharType="separate"/>
    </w:r>
    <w:r>
      <w:t xml:space="preserve">12</w:t>
    </w:r>
    <w:r>
      <w:fldChar w:fldCharType="end"/>
    </w:r>
    <w:r>
      <w:rPr>
        <w:rFonts w:ascii="Calibri" w:hAnsi="Calibri"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</w:r>
    <w:r>
      <w:rPr>
        <w:rFonts w:ascii="Calibri" w:hAnsi="Calibri" w:eastAsia="Calibri" w:cs="Calibri"/>
        <w:b w:val="0"/>
        <w:i w:val="0"/>
        <w:caps w:val="0"/>
        <w:smallCaps w:val="0"/>
        <w:strike w:val="0"/>
        <w:color w:val="000000"/>
        <w:position w:val="0"/>
        <w:sz w:val="16"/>
        <w:szCs w:val="16"/>
        <w:u w:val="none"/>
        <w:shd w:val="clear" w:color="auto" w:fill="auto"/>
        <w:vertAlign w:val="baseline"/>
      </w:rPr>
    </w:r>
  </w:p>
  <w:p>
    <w:pPr>
      <w:pStyle w:val="1150"/>
      <w:pBdr/>
      <w:tabs>
        <w:tab w:val="center" w:leader="none" w:pos="0"/>
        <w:tab w:val="clear" w:leader="none" w:pos="720"/>
      </w:tabs>
      <w:spacing w:after="0" w:before="0" w:line="240" w:lineRule="auto"/>
      <w:ind w:firstLine="0" w:left="1440"/>
      <w:jc w:val="both"/>
      <w:rPr>
        <w:i/>
        <w:color w:val="ff0000"/>
        <w:sz w:val="20"/>
        <w:szCs w:val="20"/>
      </w:rPr>
    </w:pPr>
    <w:r>
      <w:rPr>
        <w:i/>
        <w:color w:val="ff0000"/>
        <w:sz w:val="20"/>
        <w:szCs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" behindDoc="1" locked="0" layoutInCell="1" allowOverlap="1">
              <wp:simplePos x="0" y="0"/>
              <wp:positionH relativeFrom="column">
                <wp:posOffset>4581525</wp:posOffset>
              </wp:positionH>
              <wp:positionV relativeFrom="paragraph">
                <wp:posOffset>23495</wp:posOffset>
              </wp:positionV>
              <wp:extent cx="882015" cy="739140"/>
              <wp:effectExtent l="0" t="0" r="0" b="0"/>
              <wp:wrapNone/>
              <wp:docPr id="5" name="image3.png" descr="Fundo preto com letras brancas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" name="image3.png" descr="Fundo preto com letras brancas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rcRect l="64772" t="91459" r="20735" b="0"/>
                      <a:stretch/>
                    </pic:blipFill>
                    <pic:spPr bwMode="auto">
                      <a:xfrm>
                        <a:off x="0" y="0"/>
                        <a:ext cx="882015" cy="7391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4" o:spid="_x0000_s4" type="#_x0000_t75" style="position:absolute;z-index:-25;o:allowoverlap:true;o:allowincell:true;mso-position-horizontal-relative:text;margin-left:360.75pt;mso-position-horizontal:absolute;mso-position-vertical-relative:text;margin-top:1.85pt;mso-position-vertical:absolute;width:69.45pt;height:58.20pt;mso-wrap-distance-left:0.00pt;mso-wrap-distance-top:0.00pt;mso-wrap-distance-right:0.00pt;mso-wrap-distance-bottom:0.00pt;z-index:1;" stroked="false">
              <v:imagedata r:id="rId1" o:title="" croptop="59939f" cropleft="42449f" cropbottom="0f" cropright="13589f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37" behindDoc="1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80645</wp:posOffset>
              </wp:positionV>
              <wp:extent cx="1201420" cy="624205"/>
              <wp:effectExtent l="0" t="0" r="0" b="0"/>
              <wp:wrapNone/>
              <wp:docPr id="6" name="image5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5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1201420" cy="6242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5" o:spid="_x0000_s5" type="#_x0000_t75" style="position:absolute;z-index:-37;o:allowoverlap:true;o:allowincell:true;mso-position-horizontal-relative:text;margin-left:-28.50pt;mso-position-horizontal:absolute;mso-position-vertical-relative:text;margin-top:6.35pt;mso-position-vertical:absolute;width:94.60pt;height:49.1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9" behindDoc="1" locked="0" layoutInCell="1" allowOverlap="1">
              <wp:simplePos x="0" y="0"/>
              <wp:positionH relativeFrom="column">
                <wp:posOffset>5610225</wp:posOffset>
              </wp:positionH>
              <wp:positionV relativeFrom="paragraph">
                <wp:posOffset>635</wp:posOffset>
              </wp:positionV>
              <wp:extent cx="1153160" cy="681990"/>
              <wp:effectExtent l="0" t="0" r="0" b="0"/>
              <wp:wrapNone/>
              <wp:docPr id="7" name="image2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" name="image2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1153160" cy="68199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6" o:spid="_x0000_s6" type="#_x0000_t75" style="position:absolute;z-index:-49;o:allowoverlap:true;o:allowincell:true;mso-position-horizontal-relative:text;margin-left:441.75pt;mso-position-horizontal:absolute;mso-position-vertical-relative:text;margin-top:0.05pt;mso-position-vertical:absolute;width:90.80pt;height:53.70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73" behindDoc="1" locked="0" layoutInCell="1" allowOverlap="1">
              <wp:simplePos x="0" y="0"/>
              <wp:positionH relativeFrom="column">
                <wp:posOffset>3810000</wp:posOffset>
              </wp:positionH>
              <wp:positionV relativeFrom="paragraph">
                <wp:posOffset>142875</wp:posOffset>
              </wp:positionV>
              <wp:extent cx="723265" cy="509270"/>
              <wp:effectExtent l="0" t="0" r="0" b="0"/>
              <wp:wrapNone/>
              <wp:docPr id="8" name="image1.png" descr="Logotipo&#10;&#10;O conteúdo gerado por IA pode estar incorre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image1.png" descr="Logotipo&#10;&#10;O conteúdo gerado por IA pode estar incorreto.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4"/>
                      <a:stretch/>
                    </pic:blipFill>
                    <pic:spPr bwMode="auto">
                      <a:xfrm>
                        <a:off x="0" y="0"/>
                        <a:ext cx="723265" cy="5092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7" o:spid="_x0000_s7" type="#_x0000_t75" style="position:absolute;z-index:-73;o:allowoverlap:true;o:allowincell:true;mso-position-horizontal-relative:text;margin-left:300.00pt;mso-position-horizontal:absolute;mso-position-vertical-relative:text;margin-top:11.25pt;mso-position-vertical:absolute;width:56.95pt;height:40.10pt;mso-wrap-distance-left:0.00pt;mso-wrap-distance-top:0.00pt;mso-wrap-distance-right:0.00pt;mso-wrap-distance-bottom:0.00pt;z-index:1;" stroked="false">
              <v:imagedata r:id="rId4" o:title=""/>
              <o:lock v:ext="edit" rotation="t"/>
            </v:shape>
          </w:pict>
        </mc:Fallback>
      </mc:AlternateContent>
    </w:r>
    <w:r>
      <w:rPr>
        <w:i/>
        <w:color w:val="ff0000"/>
        <w:sz w:val="20"/>
        <w:szCs w:val="20"/>
      </w:rPr>
    </w:r>
    <w:r>
      <w:rPr>
        <w:i/>
        <w:color w:val="ff0000"/>
        <w:sz w:val="20"/>
        <w:szCs w:val="20"/>
      </w:rPr>
    </w:r>
  </w:p>
  <w:p>
    <w:pPr>
      <w:pStyle w:val="1150"/>
      <w:pBdr/>
      <w:spacing w:after="0" w:before="0" w:line="276" w:lineRule="auto"/>
      <w:ind w:firstLine="0"/>
      <w:rPr>
        <w:rFonts w:ascii="Arial" w:hAnsi="Arial" w:eastAsia="Arial" w:cs="Arial"/>
      </w:rPr>
    </w:pPr>
    <w:r>
      <w:rPr>
        <w:rFonts w:ascii="Arial" w:hAnsi="Arial" w:eastAsia="Arial" w:cs="Arial"/>
      </w:rPr>
      <w:t xml:space="preserve">                                                                                                                                                             </w:t>
    </w:r>
    <w:r>
      <w:rPr>
        <w:rFonts w:ascii="Arial" w:hAnsi="Arial" w:eastAsia="Arial" w:cs="Arial"/>
      </w:rPr>
    </w:r>
    <w:r>
      <w:rPr>
        <w:rFonts w:ascii="Arial" w:hAnsi="Arial" w:eastAsia="Arial" w:cs="Arial"/>
      </w:rPr>
    </w:r>
  </w:p>
  <w:p>
    <w:pPr>
      <w:pStyle w:val="1150"/>
      <w:keepNext w:val="false"/>
      <w:keepLines w:val="false"/>
      <w:widowControl w:val="true"/>
      <w:pBdr/>
      <w:shd w:val="clear" w:color="auto" w:fill="auto"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 w:right="0" w:hanging="2" w:left="0"/>
      <w:jc w:val="left"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0"/>
      <w:pBdr/>
      <w:spacing w:after="0" w:before="0" w:line="276" w:lineRule="auto"/>
      <w:ind w:hanging="450"/>
      <w:jc w:val="both"/>
      <w:rPr>
        <w:rFonts w:ascii="Arial" w:hAnsi="Arial" w:eastAsia="Arial" w:cs="Arial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387250" cy="998315"/>
              <wp:effectExtent l="0" t="0" r="0" b="0"/>
              <wp:docPr id="1" name="image6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6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1387249" cy="99831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109.23pt;height:78.61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</w:rPr>
    </w:r>
    <w:r>
      <w:rPr>
        <w:rFonts w:ascii="Arial" w:hAnsi="Arial" w:eastAsia="Arial" w:cs="Arial"/>
      </w:rPr>
    </w:r>
  </w:p>
  <w:p>
    <w:pPr>
      <w:pStyle w:val="1150"/>
      <w:pBdr/>
      <w:spacing w:after="160" w:before="0"/>
      <w:ind w:hanging="2" w:left="0"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0"/>
      <w:pBdr/>
      <w:spacing w:after="160" w:before="0"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50"/>
      <w:pBdr/>
      <w:spacing w:after="0" w:before="0" w:line="276" w:lineRule="auto"/>
      <w:ind w:hanging="450"/>
      <w:jc w:val="both"/>
      <w:rPr>
        <w:rFonts w:ascii="Arial" w:hAnsi="Arial" w:eastAsia="Arial" w:cs="Arial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1186815" cy="854075"/>
              <wp:effectExtent l="0" t="0" r="0" b="0"/>
              <wp:docPr id="2" name="image6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6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86815" cy="8540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93.45pt;height:67.2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</w:rPr>
    </w:r>
    <w:r>
      <w:rPr>
        <w:rFonts w:ascii="Arial" w:hAnsi="Arial" w:eastAsia="Arial" w:cs="Arial"/>
      </w:rPr>
    </w:r>
  </w:p>
  <w:p>
    <w:pPr>
      <w:pStyle w:val="1150"/>
      <w:pBdr/>
      <w:spacing w:after="160" w:before="0"/>
      <w:ind w:hanging="2" w:left="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61" behindDoc="1" locked="0" layoutInCell="1" allowOverlap="1">
              <wp:simplePos x="0" y="0"/>
              <wp:positionH relativeFrom="column">
                <wp:posOffset>838200</wp:posOffset>
              </wp:positionH>
              <wp:positionV relativeFrom="paragraph">
                <wp:posOffset>7454900</wp:posOffset>
              </wp:positionV>
              <wp:extent cx="2987675" cy="1364615"/>
              <wp:effectExtent l="0" t="0" r="0" b="0"/>
              <wp:wrapNone/>
              <wp:docPr id="3" name="image4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age4.png" descr=""/>
                      <pic:cNvPicPr>
                        <a:picLocks noChangeAspect="1"/>
                      </pic:cNvPicPr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2987675" cy="13646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61;o:allowoverlap:true;o:allowincell:true;mso-position-horizontal-relative:text;margin-left:66.00pt;mso-position-horizontal:absolute;mso-position-vertical-relative:text;margin-top:587.00pt;mso-position-vertical:absolute;width:235.25pt;height:107.4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hyphenationZone w:val="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pt-BR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955">
    <w:name w:val="Table Grid"/>
    <w:basedOn w:val="11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Table Grid Light"/>
    <w:basedOn w:val="11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Plain Table 1"/>
    <w:basedOn w:val="11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Plain Table 2"/>
    <w:basedOn w:val="11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Plain Table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Plain Table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Plain Table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1 Light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1 Light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1 Light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1 Light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1 Light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1 Light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1 Light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2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2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2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Grid Table 2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Grid Table 2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Grid Table 2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Grid Table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Grid Table 3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Grid Table 3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Grid Table 3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Grid Table 3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Grid Table 3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Grid Table 3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Grid Table 4"/>
    <w:basedOn w:val="11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Grid Table 4 - Accent 1"/>
    <w:basedOn w:val="11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Grid Table 4 - Accent 2"/>
    <w:basedOn w:val="11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Grid Table 4 - Accent 3"/>
    <w:basedOn w:val="11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Grid Table 4 - Accent 4"/>
    <w:basedOn w:val="11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Grid Table 4 - Accent 5"/>
    <w:basedOn w:val="11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Grid Table 4 - Accent 6"/>
    <w:basedOn w:val="11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Grid Table 5 Dark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Grid Table 5 Dark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Grid Table 5 Dark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Grid Table 5 Dark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Grid Table 5 Dark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Grid Table 5 Dark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Grid Table 5 Dark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Grid Table 6 Colorful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Grid Table 6 Colorful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Grid Table 6 Colorful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Grid Table 6 Colorful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Grid Table 6 Colorful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Grid Table 6 Colorful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Grid Table 6 Colorful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Grid Table 7 Colorful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Grid Table 7 Colorful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Grid Table 7 Colorful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Grid Table 7 Colorful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Grid Table 7 Colorful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Grid Table 7 Colorful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Grid Table 7 Colorful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1 Light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1 Light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1 Light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1 Light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1 Light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1 Light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st Table 1 Light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List Table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List Table 2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List Table 2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List Table 2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List Table 2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List Table 2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List Table 2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List Table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List Table 3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List Table 3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List Table 3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List Table 3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List Table 3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List Table 3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List Table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List Table 4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List Table 4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List Table 4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List Table 4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List Table 4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List Table 4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List Table 5 Dark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List Table 5 Dark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List Table 5 Dark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List Table 5 Dark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List Table 5 Dark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List Table 5 Dark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List Table 5 Dark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List Table 6 Colorful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List Table 6 Colorful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List Table 6 Colorful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List Table 6 Colorful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List Table 6 Colorful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1">
    <w:name w:val="List Table 6 Colorful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>
    <w:name w:val="List Table 6 Colorful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>
    <w:name w:val="List Table 7 Colorful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4">
    <w:name w:val="List Table 7 Colorful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5">
    <w:name w:val="List Table 7 Colorful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6">
    <w:name w:val="List Table 7 Colorful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7">
    <w:name w:val="List Table 7 Colorful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8">
    <w:name w:val="List Table 7 Colorful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59">
    <w:name w:val="List Table 7 Colorful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60">
    <w:name w:val="Lined - Accent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>
    <w:name w:val="Lined - Accent 1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>
    <w:name w:val="Lined - Accent 2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>
    <w:name w:val="Lined - Accent 3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>
    <w:name w:val="Lined - Accent 4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>
    <w:name w:val="Lined - Accent 5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>
    <w:name w:val="Lined - Accent 6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>
    <w:name w:val="Bordered &amp; Lined - Accent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>
    <w:name w:val="Bordered &amp; Lined - Accent 1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>
    <w:name w:val="Bordered &amp; Lined - Accent 2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>
    <w:name w:val="Bordered &amp; Lined - Accent 3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>
    <w:name w:val="Bordered &amp; Lined - Accent 4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>
    <w:name w:val="Bordered &amp; Lined - Accent 5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>
    <w:name w:val="Bordered &amp; Lined - Accent 6"/>
    <w:basedOn w:val="11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>
    <w:name w:val="Bordered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5">
    <w:name w:val="Bordered - Accent 1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6">
    <w:name w:val="Bordered - Accent 2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7">
    <w:name w:val="Bordered - Accent 3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8">
    <w:name w:val="Bordered - Accent 4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9">
    <w:name w:val="Bordered - Accent 5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0">
    <w:name w:val="Bordered - Accent 6"/>
    <w:basedOn w:val="11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81">
    <w:name w:val="Heading 7"/>
    <w:basedOn w:val="1128"/>
    <w:next w:val="1128"/>
    <w:link w:val="109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82">
    <w:name w:val="Heading 8"/>
    <w:basedOn w:val="1128"/>
    <w:next w:val="1128"/>
    <w:link w:val="109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83">
    <w:name w:val="Heading 9"/>
    <w:basedOn w:val="1128"/>
    <w:next w:val="1128"/>
    <w:link w:val="109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numbering" w:styleId="1084" w:default="1">
    <w:name w:val="No List"/>
    <w:uiPriority w:val="99"/>
    <w:semiHidden/>
    <w:unhideWhenUsed/>
    <w:pPr>
      <w:pBdr/>
      <w:spacing/>
      <w:ind/>
    </w:pPr>
  </w:style>
  <w:style w:type="character" w:styleId="1085">
    <w:name w:val="Heading 1 Char"/>
    <w:basedOn w:val="1135"/>
    <w:link w:val="11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86">
    <w:name w:val="Heading 2 Char"/>
    <w:basedOn w:val="1135"/>
    <w:link w:val="11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87">
    <w:name w:val="Heading 3 Char"/>
    <w:basedOn w:val="1135"/>
    <w:link w:val="11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88">
    <w:name w:val="Heading 4 Char"/>
    <w:basedOn w:val="1135"/>
    <w:link w:val="113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89">
    <w:name w:val="Heading 5 Char"/>
    <w:basedOn w:val="1135"/>
    <w:link w:val="11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90">
    <w:name w:val="Heading 6 Char"/>
    <w:basedOn w:val="1135"/>
    <w:link w:val="113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91">
    <w:name w:val="Heading 7 Char"/>
    <w:basedOn w:val="1135"/>
    <w:link w:val="108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92">
    <w:name w:val="Heading 8 Char"/>
    <w:basedOn w:val="1135"/>
    <w:link w:val="108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93">
    <w:name w:val="Heading 9 Char"/>
    <w:basedOn w:val="1135"/>
    <w:link w:val="108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94">
    <w:name w:val="Title Char"/>
    <w:basedOn w:val="1135"/>
    <w:link w:val="11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095">
    <w:name w:val="Subtitle Char"/>
    <w:basedOn w:val="1135"/>
    <w:link w:val="1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96">
    <w:name w:val="Quote"/>
    <w:basedOn w:val="1128"/>
    <w:next w:val="1128"/>
    <w:link w:val="109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97">
    <w:name w:val="Quote Char"/>
    <w:basedOn w:val="1135"/>
    <w:link w:val="109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098">
    <w:name w:val="Intense Emphasis"/>
    <w:basedOn w:val="11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99">
    <w:name w:val="Intense Quote"/>
    <w:basedOn w:val="1128"/>
    <w:next w:val="1128"/>
    <w:link w:val="110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100">
    <w:name w:val="Intense Quote Char"/>
    <w:basedOn w:val="1135"/>
    <w:link w:val="109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101">
    <w:name w:val="Intense Reference"/>
    <w:basedOn w:val="11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102">
    <w:name w:val="Subtle Emphasis"/>
    <w:basedOn w:val="11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103">
    <w:name w:val="Emphasis"/>
    <w:basedOn w:val="1135"/>
    <w:uiPriority w:val="20"/>
    <w:qFormat/>
    <w:pPr>
      <w:pBdr/>
      <w:spacing/>
      <w:ind/>
    </w:pPr>
    <w:rPr>
      <w:i/>
      <w:iCs/>
    </w:rPr>
  </w:style>
  <w:style w:type="character" w:styleId="1104">
    <w:name w:val="Strong"/>
    <w:basedOn w:val="1135"/>
    <w:uiPriority w:val="22"/>
    <w:qFormat/>
    <w:pPr>
      <w:pBdr/>
      <w:spacing/>
      <w:ind/>
    </w:pPr>
    <w:rPr>
      <w:b/>
      <w:bCs/>
    </w:rPr>
  </w:style>
  <w:style w:type="character" w:styleId="1105">
    <w:name w:val="Subtle Reference"/>
    <w:basedOn w:val="11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106">
    <w:name w:val="Book Title"/>
    <w:basedOn w:val="1135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107">
    <w:name w:val="Header Char"/>
    <w:basedOn w:val="1135"/>
    <w:link w:val="1163"/>
    <w:uiPriority w:val="99"/>
    <w:pPr>
      <w:pBdr/>
      <w:spacing/>
      <w:ind/>
    </w:pPr>
  </w:style>
  <w:style w:type="character" w:styleId="1108">
    <w:name w:val="Footer Char"/>
    <w:basedOn w:val="1135"/>
    <w:link w:val="1164"/>
    <w:uiPriority w:val="99"/>
    <w:pPr>
      <w:pBdr/>
      <w:spacing/>
      <w:ind/>
    </w:pPr>
  </w:style>
  <w:style w:type="paragraph" w:styleId="1109">
    <w:name w:val="footnote text"/>
    <w:basedOn w:val="1128"/>
    <w:link w:val="11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110">
    <w:name w:val="Footnote Text Char"/>
    <w:basedOn w:val="1135"/>
    <w:link w:val="1109"/>
    <w:uiPriority w:val="99"/>
    <w:semiHidden/>
    <w:pPr>
      <w:pBdr/>
      <w:spacing/>
      <w:ind/>
    </w:pPr>
    <w:rPr>
      <w:sz w:val="20"/>
      <w:szCs w:val="20"/>
    </w:rPr>
  </w:style>
  <w:style w:type="character" w:styleId="1111">
    <w:name w:val="footnote reference"/>
    <w:basedOn w:val="1135"/>
    <w:uiPriority w:val="99"/>
    <w:semiHidden/>
    <w:unhideWhenUsed/>
    <w:pPr>
      <w:pBdr/>
      <w:spacing/>
      <w:ind/>
    </w:pPr>
    <w:rPr>
      <w:vertAlign w:val="superscript"/>
    </w:rPr>
  </w:style>
  <w:style w:type="paragraph" w:styleId="1112">
    <w:name w:val="endnote text"/>
    <w:basedOn w:val="1128"/>
    <w:link w:val="11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113">
    <w:name w:val="Endnote Text Char"/>
    <w:basedOn w:val="1135"/>
    <w:link w:val="1112"/>
    <w:uiPriority w:val="99"/>
    <w:semiHidden/>
    <w:pPr>
      <w:pBdr/>
      <w:spacing/>
      <w:ind/>
    </w:pPr>
    <w:rPr>
      <w:sz w:val="20"/>
      <w:szCs w:val="20"/>
    </w:rPr>
  </w:style>
  <w:style w:type="character" w:styleId="1114">
    <w:name w:val="endnote reference"/>
    <w:basedOn w:val="1135"/>
    <w:uiPriority w:val="99"/>
    <w:semiHidden/>
    <w:unhideWhenUsed/>
    <w:pPr>
      <w:pBdr/>
      <w:spacing/>
      <w:ind/>
    </w:pPr>
    <w:rPr>
      <w:vertAlign w:val="superscript"/>
    </w:rPr>
  </w:style>
  <w:style w:type="character" w:styleId="1115">
    <w:name w:val="FollowedHyperlink"/>
    <w:basedOn w:val="11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116">
    <w:name w:val="toc 1"/>
    <w:basedOn w:val="1128"/>
    <w:next w:val="1128"/>
    <w:uiPriority w:val="39"/>
    <w:unhideWhenUsed/>
    <w:pPr>
      <w:pBdr/>
      <w:spacing w:after="100"/>
      <w:ind/>
    </w:pPr>
  </w:style>
  <w:style w:type="paragraph" w:styleId="1117">
    <w:name w:val="toc 2"/>
    <w:basedOn w:val="1128"/>
    <w:next w:val="1128"/>
    <w:uiPriority w:val="39"/>
    <w:unhideWhenUsed/>
    <w:pPr>
      <w:pBdr/>
      <w:spacing w:after="100"/>
      <w:ind w:left="220"/>
    </w:pPr>
  </w:style>
  <w:style w:type="paragraph" w:styleId="1118">
    <w:name w:val="toc 3"/>
    <w:basedOn w:val="1128"/>
    <w:next w:val="1128"/>
    <w:uiPriority w:val="39"/>
    <w:unhideWhenUsed/>
    <w:pPr>
      <w:pBdr/>
      <w:spacing w:after="100"/>
      <w:ind w:left="440"/>
    </w:pPr>
  </w:style>
  <w:style w:type="paragraph" w:styleId="1119">
    <w:name w:val="toc 4"/>
    <w:basedOn w:val="1128"/>
    <w:next w:val="1128"/>
    <w:uiPriority w:val="39"/>
    <w:unhideWhenUsed/>
    <w:pPr>
      <w:pBdr/>
      <w:spacing w:after="100"/>
      <w:ind w:left="660"/>
    </w:pPr>
  </w:style>
  <w:style w:type="paragraph" w:styleId="1120">
    <w:name w:val="toc 5"/>
    <w:basedOn w:val="1128"/>
    <w:next w:val="1128"/>
    <w:uiPriority w:val="39"/>
    <w:unhideWhenUsed/>
    <w:pPr>
      <w:pBdr/>
      <w:spacing w:after="100"/>
      <w:ind w:left="880"/>
    </w:pPr>
  </w:style>
  <w:style w:type="paragraph" w:styleId="1121">
    <w:name w:val="toc 6"/>
    <w:basedOn w:val="1128"/>
    <w:next w:val="1128"/>
    <w:uiPriority w:val="39"/>
    <w:unhideWhenUsed/>
    <w:pPr>
      <w:pBdr/>
      <w:spacing w:after="100"/>
      <w:ind w:left="1100"/>
    </w:pPr>
  </w:style>
  <w:style w:type="paragraph" w:styleId="1122">
    <w:name w:val="toc 7"/>
    <w:basedOn w:val="1128"/>
    <w:next w:val="1128"/>
    <w:uiPriority w:val="39"/>
    <w:unhideWhenUsed/>
    <w:pPr>
      <w:pBdr/>
      <w:spacing w:after="100"/>
      <w:ind w:left="1320"/>
    </w:pPr>
  </w:style>
  <w:style w:type="paragraph" w:styleId="1123">
    <w:name w:val="toc 8"/>
    <w:basedOn w:val="1128"/>
    <w:next w:val="1128"/>
    <w:uiPriority w:val="39"/>
    <w:unhideWhenUsed/>
    <w:pPr>
      <w:pBdr/>
      <w:spacing w:after="100"/>
      <w:ind w:left="1540"/>
    </w:pPr>
  </w:style>
  <w:style w:type="paragraph" w:styleId="1124">
    <w:name w:val="toc 9"/>
    <w:basedOn w:val="1128"/>
    <w:next w:val="1128"/>
    <w:uiPriority w:val="39"/>
    <w:unhideWhenUsed/>
    <w:pPr>
      <w:pBdr/>
      <w:spacing w:after="100"/>
      <w:ind w:left="1760"/>
    </w:pPr>
  </w:style>
  <w:style w:type="character" w:styleId="1125">
    <w:name w:val="Placeholder Text"/>
    <w:basedOn w:val="1135"/>
    <w:uiPriority w:val="99"/>
    <w:semiHidden/>
    <w:pPr>
      <w:pBdr/>
      <w:spacing/>
      <w:ind/>
    </w:pPr>
    <w:rPr>
      <w:color w:val="666666"/>
    </w:rPr>
  </w:style>
  <w:style w:type="paragraph" w:styleId="1126">
    <w:name w:val="TOC Heading"/>
    <w:uiPriority w:val="39"/>
    <w:unhideWhenUsed/>
    <w:pPr>
      <w:pBdr/>
      <w:spacing/>
      <w:ind/>
    </w:pPr>
  </w:style>
  <w:style w:type="paragraph" w:styleId="1127">
    <w:name w:val="table of figures"/>
    <w:basedOn w:val="1128"/>
    <w:next w:val="1128"/>
    <w:uiPriority w:val="99"/>
    <w:unhideWhenUsed/>
    <w:pPr>
      <w:pBdr/>
      <w:spacing w:after="0" w:afterAutospacing="0"/>
      <w:ind/>
    </w:pPr>
  </w:style>
  <w:style w:type="paragraph" w:styleId="1128" w:default="1">
    <w:name w:val="Normal"/>
    <w:qFormat/>
    <w:pPr>
      <w:widowControl w:val="true"/>
      <w:pBdr/>
      <w:bidi w:val="false"/>
      <w:spacing w:after="160" w:before="0" w:line="259" w:lineRule="auto"/>
      <w:ind w:hanging="1" w:left="-1"/>
      <w:jc w:val="left"/>
      <w:outlineLvl w:val="0"/>
    </w:pPr>
    <w:rPr>
      <w:rFonts w:ascii="Calibri" w:hAnsi="Calibri" w:eastAsia="Calibri" w:cs="Calibri"/>
      <w:color w:val="auto"/>
      <w:position w:val="-1"/>
      <w:sz w:val="22"/>
      <w:szCs w:val="22"/>
      <w:lang w:val="pt-BR" w:eastAsia="en-US" w:bidi="hi-IN"/>
    </w:rPr>
  </w:style>
  <w:style w:type="paragraph" w:styleId="1129">
    <w:name w:val="Heading 1"/>
    <w:basedOn w:val="1150"/>
    <w:next w:val="1150"/>
    <w:uiPriority w:val="9"/>
    <w:qFormat/>
    <w:pPr>
      <w:keepNext w:val="true"/>
      <w:keepLines w:val="true"/>
      <w:pBdr/>
      <w:spacing w:after="120" w:before="480"/>
      <w:ind/>
    </w:pPr>
    <w:rPr>
      <w:b/>
      <w:sz w:val="48"/>
      <w:szCs w:val="48"/>
    </w:rPr>
  </w:style>
  <w:style w:type="paragraph" w:styleId="1130">
    <w:name w:val="Heading 2"/>
    <w:basedOn w:val="1150"/>
    <w:next w:val="1150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1131">
    <w:name w:val="Heading 3"/>
    <w:basedOn w:val="1150"/>
    <w:next w:val="1150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1132">
    <w:name w:val="Heading 4"/>
    <w:basedOn w:val="1150"/>
    <w:next w:val="1150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1133">
    <w:name w:val="Heading 5"/>
    <w:basedOn w:val="1150"/>
    <w:next w:val="1150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</w:rPr>
  </w:style>
  <w:style w:type="paragraph" w:styleId="1134">
    <w:name w:val="Heading 6"/>
    <w:basedOn w:val="1150"/>
    <w:next w:val="1150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sz w:val="20"/>
      <w:szCs w:val="20"/>
    </w:rPr>
  </w:style>
  <w:style w:type="character" w:styleId="1135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1136" w:customStyle="1">
    <w:name w:val="Texto de balão Char"/>
    <w:qFormat/>
    <w:pPr>
      <w:pBdr/>
      <w:spacing/>
      <w:ind/>
    </w:pPr>
    <w:rPr>
      <w:rFonts w:ascii="Segoe UI" w:hAnsi="Segoe UI" w:cs="Segoe UI"/>
      <w:position w:val="0"/>
      <w:sz w:val="18"/>
      <w:szCs w:val="18"/>
      <w:vertAlign w:val="baseline"/>
      <w:lang w:eastAsia="en-US"/>
    </w:rPr>
  </w:style>
  <w:style w:type="character" w:styleId="1137">
    <w:name w:val="annotation reference"/>
    <w:qFormat/>
    <w:pPr>
      <w:pBdr/>
      <w:spacing/>
      <w:ind/>
    </w:pPr>
    <w:rPr>
      <w:position w:val="0"/>
      <w:sz w:val="16"/>
      <w:szCs w:val="16"/>
      <w:vertAlign w:val="baseline"/>
    </w:rPr>
  </w:style>
  <w:style w:type="character" w:styleId="1138" w:customStyle="1">
    <w:name w:val="Texto de comentário Char"/>
    <w:qFormat/>
    <w:pPr>
      <w:pBdr/>
      <w:spacing/>
      <w:ind/>
    </w:pPr>
    <w:rPr>
      <w:position w:val="0"/>
      <w:sz w:val="22"/>
      <w:vertAlign w:val="baseline"/>
      <w:lang w:eastAsia="en-US"/>
    </w:rPr>
  </w:style>
  <w:style w:type="character" w:styleId="1139" w:customStyle="1">
    <w:name w:val="Assunto do comentário Char"/>
    <w:qFormat/>
    <w:pPr>
      <w:pBdr/>
      <w:spacing/>
      <w:ind/>
    </w:pPr>
    <w:rPr>
      <w:b/>
      <w:bCs/>
      <w:position w:val="0"/>
      <w:sz w:val="22"/>
      <w:vertAlign w:val="baseline"/>
      <w:lang w:eastAsia="en-US"/>
    </w:rPr>
  </w:style>
  <w:style w:type="character" w:styleId="1140" w:customStyle="1">
    <w:name w:val="Cabeçalho Char"/>
    <w:basedOn w:val="1135"/>
    <w:uiPriority w:val="99"/>
    <w:qFormat/>
    <w:pPr>
      <w:pBdr/>
      <w:spacing/>
      <w:ind/>
    </w:pPr>
    <w:rPr>
      <w:vertAlign w:val="subscript"/>
      <w:lang w:eastAsia="en-US"/>
    </w:rPr>
  </w:style>
  <w:style w:type="character" w:styleId="1141" w:customStyle="1">
    <w:name w:val="Rodapé Char"/>
    <w:basedOn w:val="1135"/>
    <w:uiPriority w:val="99"/>
    <w:qFormat/>
    <w:pPr>
      <w:pBdr/>
      <w:spacing/>
      <w:ind/>
    </w:pPr>
    <w:rPr>
      <w:vertAlign w:val="subscript"/>
      <w:lang w:eastAsia="en-US"/>
    </w:rPr>
  </w:style>
  <w:style w:type="character" w:styleId="1142">
    <w:name w:val="Hyperlink"/>
    <w:pPr>
      <w:pBdr/>
      <w:spacing/>
      <w:ind/>
    </w:pPr>
    <w:rPr>
      <w:color w:val="000080"/>
      <w:u w:val="single"/>
    </w:rPr>
  </w:style>
  <w:style w:type="paragraph" w:styleId="1143">
    <w:name w:val="Título"/>
    <w:basedOn w:val="1128"/>
    <w:next w:val="1144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144">
    <w:name w:val="Body Text"/>
    <w:basedOn w:val="1128"/>
    <w:pPr>
      <w:pBdr/>
      <w:spacing w:after="140" w:before="0" w:line="276" w:lineRule="auto"/>
      <w:ind/>
    </w:pPr>
  </w:style>
  <w:style w:type="paragraph" w:styleId="1145">
    <w:name w:val="List"/>
    <w:basedOn w:val="1144"/>
    <w:pPr>
      <w:pBdr/>
      <w:spacing/>
      <w:ind/>
    </w:pPr>
    <w:rPr>
      <w:rFonts w:cs="Lucida Sans"/>
    </w:rPr>
  </w:style>
  <w:style w:type="paragraph" w:styleId="1146">
    <w:name w:val="Caption"/>
    <w:basedOn w:val="1128"/>
    <w:qFormat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1147">
    <w:name w:val="Índice"/>
    <w:basedOn w:val="1128"/>
    <w:qFormat/>
    <w:pPr>
      <w:suppressLineNumbers w:val="true"/>
      <w:pBdr/>
      <w:spacing/>
      <w:ind/>
    </w:pPr>
    <w:rPr>
      <w:rFonts w:cs="Lucida Sans"/>
    </w:rPr>
  </w:style>
  <w:style w:type="paragraph" w:styleId="1148">
    <w:name w:val="Título (user)"/>
    <w:basedOn w:val="1128"/>
    <w:next w:val="1144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1149">
    <w:name w:val="Índice (user)"/>
    <w:basedOn w:val="1128"/>
    <w:qFormat/>
    <w:pPr>
      <w:suppressLineNumbers w:val="true"/>
      <w:pBdr/>
      <w:spacing/>
      <w:ind/>
    </w:pPr>
    <w:rPr>
      <w:rFonts w:cs="Lucida Sans"/>
    </w:rPr>
  </w:style>
  <w:style w:type="paragraph" w:styleId="1150">
    <w:name w:val="normal1"/>
    <w:qFormat/>
    <w:pPr>
      <w:widowControl w:val="true"/>
      <w:pBdr/>
      <w:bidi w:val="false"/>
      <w:spacing w:after="160" w:before="0" w:line="259" w:lineRule="auto"/>
      <w:ind w:hanging="1"/>
      <w:jc w:val="left"/>
    </w:pPr>
    <w:rPr>
      <w:rFonts w:ascii="Calibri" w:hAnsi="Calibri" w:eastAsia="Calibri" w:cs="Calibri"/>
      <w:color w:val="auto"/>
      <w:sz w:val="22"/>
      <w:szCs w:val="22"/>
      <w:lang w:val="pt-BR" w:eastAsia="zh-CN" w:bidi="hi-IN"/>
    </w:rPr>
  </w:style>
  <w:style w:type="paragraph" w:styleId="1151">
    <w:name w:val="Title"/>
    <w:basedOn w:val="1150"/>
    <w:next w:val="1150"/>
    <w:uiPriority w:val="10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1152">
    <w:name w:val="Balloon Text"/>
    <w:basedOn w:val="1150"/>
    <w:qFormat/>
    <w:pPr>
      <w:pBdr/>
      <w:spacing w:after="0" w:before="0" w:line="240" w:lineRule="auto"/>
      <w:ind/>
    </w:pPr>
    <w:rPr>
      <w:rFonts w:ascii="Segoe UI" w:hAnsi="Segoe UI"/>
      <w:sz w:val="18"/>
      <w:szCs w:val="18"/>
    </w:rPr>
  </w:style>
  <w:style w:type="paragraph" w:styleId="1153">
    <w:name w:val="No Spacing"/>
    <w:qFormat/>
    <w:pPr>
      <w:widowControl w:val="true"/>
      <w:pBdr/>
      <w:bidi w:val="false"/>
      <w:spacing w:after="160" w:before="0" w:line="1" w:lineRule="atLeast"/>
      <w:ind w:hanging="1" w:left="-1"/>
      <w:jc w:val="left"/>
      <w:outlineLvl w:val="0"/>
    </w:pPr>
    <w:rPr>
      <w:rFonts w:ascii="Calibri" w:hAnsi="Calibri" w:eastAsia="Calibri" w:cs="Calibri"/>
      <w:color w:val="auto"/>
      <w:position w:val="-1"/>
      <w:sz w:val="22"/>
      <w:szCs w:val="22"/>
      <w:lang w:val="pt-BR" w:eastAsia="en-US" w:bidi="hi-IN"/>
    </w:rPr>
  </w:style>
  <w:style w:type="paragraph" w:styleId="1154">
    <w:name w:val="annotation text"/>
    <w:basedOn w:val="1150"/>
    <w:qFormat/>
    <w:pPr>
      <w:pBdr/>
      <w:spacing/>
      <w:ind/>
    </w:pPr>
    <w:rPr>
      <w:sz w:val="20"/>
      <w:szCs w:val="20"/>
    </w:rPr>
  </w:style>
  <w:style w:type="paragraph" w:styleId="1155">
    <w:name w:val="annotation subject"/>
    <w:basedOn w:val="1154"/>
    <w:next w:val="1154"/>
    <w:qFormat/>
    <w:pPr>
      <w:pBdr/>
      <w:spacing/>
      <w:ind/>
    </w:pPr>
    <w:rPr>
      <w:b/>
      <w:bCs/>
    </w:rPr>
  </w:style>
  <w:style w:type="paragraph" w:styleId="1156">
    <w:name w:val="List Paragraph"/>
    <w:basedOn w:val="1150"/>
    <w:qFormat/>
    <w:pPr>
      <w:pBdr/>
      <w:spacing w:after="0" w:before="0" w:line="240" w:lineRule="auto"/>
      <w:ind w:left="720"/>
      <w:contextualSpacing w:val="true"/>
    </w:pPr>
    <w:rPr>
      <w:rFonts w:ascii="Times New Roman" w:hAnsi="Times New Roman" w:eastAsia="Times New Roman"/>
      <w:sz w:val="20"/>
      <w:szCs w:val="20"/>
      <w:lang w:eastAsia="pt-BR"/>
    </w:rPr>
  </w:style>
  <w:style w:type="paragraph" w:styleId="1157" w:customStyle="1">
    <w:name w:val="western"/>
    <w:basedOn w:val="1150"/>
    <w:qFormat/>
    <w:pPr>
      <w:pBdr/>
      <w:spacing w:after="119" w:beforeAutospacing="1" w:line="240" w:lineRule="auto"/>
      <w:ind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1158">
    <w:name w:val="Revision"/>
    <w:qFormat/>
    <w:pPr>
      <w:widowControl w:val="true"/>
      <w:pBdr/>
      <w:bidi w:val="false"/>
      <w:spacing w:after="160" w:before="0" w:line="1" w:lineRule="atLeast"/>
      <w:ind w:hanging="1" w:left="-1"/>
      <w:jc w:val="left"/>
      <w:outlineLvl w:val="0"/>
    </w:pPr>
    <w:rPr>
      <w:rFonts w:ascii="Calibri" w:hAnsi="Calibri" w:eastAsia="Calibri" w:cs="Calibri"/>
      <w:color w:val="auto"/>
      <w:position w:val="-1"/>
      <w:sz w:val="22"/>
      <w:szCs w:val="22"/>
      <w:lang w:val="pt-BR" w:eastAsia="en-US" w:bidi="hi-IN"/>
    </w:rPr>
  </w:style>
  <w:style w:type="paragraph" w:styleId="1159" w:customStyle="1">
    <w:name w:val="Normal11"/>
    <w:qFormat/>
    <w:pPr>
      <w:widowControl w:val="true"/>
      <w:pBdr/>
      <w:bidi w:val="false"/>
      <w:spacing w:after="200" w:before="0" w:line="276" w:lineRule="auto"/>
      <w:ind w:hanging="1" w:left="-1"/>
      <w:jc w:val="left"/>
      <w:outlineLvl w:val="0"/>
    </w:pPr>
    <w:rPr>
      <w:rFonts w:ascii="Times New Roman" w:hAnsi="Times New Roman" w:eastAsia="Times New Roman" w:cs="Calibri"/>
      <w:color w:val="auto"/>
      <w:position w:val="-1"/>
      <w:sz w:val="22"/>
      <w:szCs w:val="22"/>
      <w:lang w:val="pt-BR" w:eastAsia="zh-CN" w:bidi="hi-IN"/>
    </w:rPr>
  </w:style>
  <w:style w:type="paragraph" w:styleId="1160">
    <w:name w:val="Subtitle"/>
    <w:basedOn w:val="1150"/>
    <w:next w:val="1150"/>
    <w:uiPriority w:val="11"/>
    <w:qFormat/>
    <w:pPr>
      <w:keepNext w:val="true"/>
      <w:keepLines w:val="true"/>
      <w:pBdr/>
      <w:spacing w:after="80" w:before="360" w:line="240" w:lineRule="auto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61">
    <w:name w:val="Cabeçalho e rodapé (user)"/>
    <w:basedOn w:val="1128"/>
    <w:qFormat/>
    <w:pPr>
      <w:pBdr/>
      <w:spacing/>
      <w:ind/>
    </w:pPr>
  </w:style>
  <w:style w:type="paragraph" w:styleId="1162">
    <w:name w:val="Cabeçalho e rodapé"/>
    <w:basedOn w:val="1128"/>
    <w:qFormat/>
    <w:pPr>
      <w:pBdr/>
      <w:spacing/>
      <w:ind/>
    </w:pPr>
  </w:style>
  <w:style w:type="paragraph" w:styleId="1163">
    <w:name w:val="Header"/>
    <w:basedOn w:val="1150"/>
    <w:link w:val="1140"/>
    <w:uiPriority w:val="99"/>
    <w:unhideWhenUsed/>
    <w:pPr>
      <w:pBdr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/>
    </w:pPr>
  </w:style>
  <w:style w:type="paragraph" w:styleId="1164">
    <w:name w:val="Footer"/>
    <w:basedOn w:val="1150"/>
    <w:link w:val="1141"/>
    <w:uiPriority w:val="99"/>
    <w:unhideWhenUsed/>
    <w:pPr>
      <w:pBdr/>
      <w:tabs>
        <w:tab w:val="clear" w:leader="none" w:pos="720"/>
        <w:tab w:val="center" w:leader="none" w:pos="4252"/>
        <w:tab w:val="right" w:leader="none" w:pos="8504"/>
      </w:tabs>
      <w:spacing w:after="0" w:before="0" w:line="240" w:lineRule="auto"/>
      <w:ind/>
    </w:pPr>
  </w:style>
  <w:style w:type="numbering" w:styleId="1165">
    <w:name w:val="Sem lista (user)"/>
    <w:uiPriority w:val="99"/>
    <w:semiHidden/>
    <w:unhideWhenUsed/>
    <w:qFormat/>
    <w:pPr>
      <w:pBdr/>
      <w:spacing/>
      <w:ind/>
    </w:pPr>
  </w:style>
  <w:style w:type="table" w:styleId="1166" w:default="1">
    <w:name w:val="Normal Table"/>
    <w:uiPriority w:val="99"/>
    <w:semiHidden/>
    <w:unhideWhenUsed/>
    <w:pPr>
      <w:pBdr/>
      <w:spacing/>
      <w:ind/>
    </w:pPr>
    <w:tblPr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7" w:customStyle="1">
    <w:name w:val="Table Normal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8" w:customStyle="1">
    <w:name w:val="Table Normal1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9" w:customStyle="1">
    <w:name w:val="4"/>
    <w:basedOn w:val="1168"/>
    <w:pPr>
      <w:pBdr/>
      <w:spacing/>
      <w:ind/>
    </w:pPr>
    <w:tblPr>
      <w:tblStyleRowBandSize w:val="1"/>
      <w:tblStyleColBandSize w:val="1"/>
      <w:tblCellMar>
        <w:left w:w="108" w:type="dxa"/>
        <w:right w:w="108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0" w:customStyle="1">
    <w:name w:val="3"/>
    <w:basedOn w:val="1168"/>
    <w:pPr>
      <w:pBdr/>
      <w:spacing/>
      <w:ind/>
    </w:pPr>
    <w:tblPr>
      <w:tblStyleRowBandSize w:val="1"/>
      <w:tblStyleColBandSize w:val="1"/>
      <w:tblCellMar>
        <w:left w:w="108" w:type="dxa"/>
        <w:right w:w="108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1" w:customStyle="1">
    <w:name w:val="2"/>
    <w:basedOn w:val="1168"/>
    <w:pPr>
      <w:pBdr/>
      <w:spacing/>
      <w:ind/>
    </w:pPr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2" w:customStyle="1">
    <w:name w:val="1"/>
    <w:basedOn w:val="1168"/>
    <w:pPr>
      <w:pBdr/>
      <w:spacing/>
      <w:ind/>
    </w:pPr>
    <w:tblPr>
      <w:tblStyleRowBandSize w:val="1"/>
      <w:tblStyleColBandSize w:val="1"/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hyperlink" Target="https://www.planalto.gov.br/ccivil_03/_ato2019-2022/2022/lei/l14399.htm" TargetMode="External"/><Relationship Id="rId16" Type="http://schemas.openxmlformats.org/officeDocument/2006/relationships/hyperlink" Target="https://www.planalto.gov.br/ccivil_03/_ato2023-2026/2023/decreto/D11740.htm" TargetMode="External"/><Relationship Id="rId17" Type="http://schemas.openxmlformats.org/officeDocument/2006/relationships/hyperlink" Target="https://www.planalto.gov.br/ccivil_03/_ato2023-2026/2023/decreto/D11740.htm" TargetMode="External"/><Relationship Id="rId18" Type="http://schemas.openxmlformats.org/officeDocument/2006/relationships/hyperlink" Target="https://www.in.gov.br/web/dou/-/portaria-minc-n-200-de-11-de-abril-de-2025-623760804" TargetMode="External"/><Relationship Id="rId19" Type="http://schemas.openxmlformats.org/officeDocument/2006/relationships/hyperlink" Target="https://www.in.gov.br/web/dou/-/portaria-minc-n-80-de-27-de-outubro-de-2023-519652245" TargetMode="External"/><Relationship Id="rId20" Type="http://schemas.openxmlformats.org/officeDocument/2006/relationships/hyperlink" Target="https://www.in.gov.br/en/web/dou/-/portaria-minc-n-206-de-13-de-maio-de-2025-629208189" TargetMode="External"/><Relationship Id="rId21" Type="http://schemas.openxmlformats.org/officeDocument/2006/relationships/hyperlink" Target="https://www.in.gov.br/web/dou/-/portaria-minc-n-80-de-27-de-outubro-de-2023-519652245" TargetMode="External"/><Relationship Id="rId22" Type="http://schemas.openxmlformats.org/officeDocument/2006/relationships/hyperlink" Target="https://www.planalto.gov.br/ccivil_03/_ato2011-2014/2014/lei/l13018.htm" TargetMode="External"/><Relationship Id="rId23" Type="http://schemas.openxmlformats.org/officeDocument/2006/relationships/hyperlink" Target="https://www.planalto.gov.br/ccivil_03/_ato2011-2014/2014/lei/l13018.htm" TargetMode="External"/><Relationship Id="rId24" Type="http://schemas.openxmlformats.org/officeDocument/2006/relationships/hyperlink" Target="https://www.gov.br/cultura/pt-br/acesso-a-informacao/legislacao-e-normativas/instrucao-normativa-minc-no-1-de-7-de-abril-de-2015-1" TargetMode="External"/><Relationship Id="rId25" Type="http://schemas.openxmlformats.org/officeDocument/2006/relationships/hyperlink" Target="https://www.gov.br/cultura/pt-br/acesso-a-informacao/legislacao-e-normativas/instrucao-normativa-minc-no-1-de-7-de-abril-de-2015-1" TargetMode="External"/><Relationship Id="rId26" Type="http://schemas.openxmlformats.org/officeDocument/2006/relationships/hyperlink" Target="https://www.in.gov.br/en/web/dou/-/instrucao-normativa-minc-n-12-de-28-de-maio-de-2024-562732255" TargetMode="External"/><Relationship Id="rId27" Type="http://schemas.openxmlformats.org/officeDocument/2006/relationships/hyperlink" Target="https://www.in.gov.br/en/web/dou/-/instrucao-normativa-minc-n-12-de-28-de-maio-de-2024-562732255" TargetMode="External"/><Relationship Id="rId28" Type="http://schemas.openxmlformats.org/officeDocument/2006/relationships/hyperlink" Target="https://www.planalto.gov.br/ccivil_03/_ato2023-2026/2023/decreto/D11453.htm" TargetMode="External"/><Relationship Id="rId29" Type="http://schemas.openxmlformats.org/officeDocument/2006/relationships/hyperlink" Target="https://www.planalto.gov.br/ccivil_03/_ato2023-2026/2023/decreto/D11453.htm" TargetMode="External"/><Relationship Id="rId30" Type="http://schemas.openxmlformats.org/officeDocument/2006/relationships/hyperlink" Target="https://www.planalto.gov.br/ccivil_03/_ato2023-2026/2024/lei/L14903.htm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6.png"/><Relationship Id="rId4" Type="http://schemas.openxmlformats.org/officeDocument/2006/relationships/image" Target="media/image7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xxpT4fQy/4BmMoBXGzE3aIdwrmw==">CgMxLjAikgIKC0FBQUJtTlBvSnRJEtwBCgtBQUFCbU5Qb0p0SRILQUFBQm1OUG9KdEkaDQoJdGV4dC9odG1sEgAiDgoKdGV4dC9wbGFpbhIAKhsiFTEwMjQxMjA4ODU5NDAzOTUxNTM1MigAOAAwuZv4wfkyOKGo+MH5Mko8CiRhcHBsaWNhdGlvbi92bmQuZ29vZ2xlLWFwcHMuZG9jcy5tZHMaFMLX2uQBDhoMCggKAm91EAEYABABWgxucXE2OGZqN3p5cmVyAiAAeACCARRzdWdnZXN0Lmg5dmFwNDNhc2I2bZoBBggAEAAYALABALgBABi5m/jB+TIgoaj4wfkyMABCFHN1Z2dlc3QuaDl2YXA0M2FzYjZtOABqKAoUc3VnZ2VzdC5yNXYweGhzMGlxNTQSEENhcm9saW5hIEZyZWl0YXNqJgoUc3VnZ2VzdC4zeGNnM2t1djRnaXYSDkFkaWxzb24gSnVuaW9yaigKFHN1Z2dlc3QudzZib2d6ZHRncjN3EhBDYXJvbGluYSBGcmVpdGFzaigKFHN1Z2dlc3QueTBuazdjeDI4eDRpEhBDYXJvbGluYSBGcmVpdGFzaigKFHN1Z2dlc3QubHVjZDBnNzd0eGt6EhBDYXJvbGluYSBGcmVpdGFzaigKFHN1Z2dlc3QueWJwZ21kNmoxd29mEhBDYXJvbGluYSBGcmVpdGFzaigKFHN1Z2dlc3QuamxlM3l6azFocGxvEhBDYXJvbGluYSBGcmVpdGFzaiYKFHN1Z2dlc3QueWNranNoMmR5dWRhEg5BZGlsc29uIEp1bmlvcmooChRzdWdnZXN0LjZpYXBxYTl5MTA4MhIQQ2Fyb2xpbmEgRnJlaXRhc2ooChRzdWdnZXN0LnN2M3drMDQ3YTBtZhIQQ2Fyb2xpbmEgRnJlaXRhc2ooChRzdWdnZXN0LjhnNXNuajkwYm02MBIQQ2Fyb2xpbmEgRnJlaXRhc2olChNzdWdnZXN0Lmhkc2dkNGl4dTl0Eg5BZGlsc29uIEp1bmlvcmooChRzdWdnZXN0Lmg5dmFwNDNhc2I2bRIQQ2Fyb2xpbmEgRnJlaXRhc3IhMXZpZ1ZRVVVFcVlJN3AzcWp5a2dPZV8ySERnSVEzX1p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Application>ONLYOFFICE/9.2.1.43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Guimaraes Goulart</dc:creator>
  <dc:description/>
  <dc:language>pt-BR</dc:language>
  <cp:revision>6</cp:revision>
  <dcterms:created xsi:type="dcterms:W3CDTF">2022-08-11T14:23:00Z</dcterms:created>
  <dcterms:modified xsi:type="dcterms:W3CDTF">2026-05-27T15:15:52Z</dcterms:modified>
</cp:coreProperties>
</file>